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5791-25</w:t>
      </w:r>
      <w:r>
        <w:rPr>
          <w:lang w:val="es-AR" w:eastAsia="es-AR" w:bidi="es-AR"/>
        </w:rPr>
        <w:t xml:space="preserve"> caratulada </w:t>
      </w:r>
      <w:r>
        <w:rPr>
          <w:b/>
          <w:lang w:val="es-AR" w:eastAsia="es-AR" w:bidi="es-AR"/>
        </w:rPr>
        <w:t xml:space="preserve">"</w:t>
      </w:r>
      <w:r>
        <w:rPr>
          <w:b/>
          <w:color w:val="000000"/>
          <w:lang w:val="es-AR" w:eastAsia="es-AR" w:bidi="es-AR"/>
        </w:rPr>
        <w:t xml:space="preserve">RAMIREZ JUANA MARIELA Y OTRO/A C/ MASTROGIACOMO FEDERICO Y OTRO/A S/ DAÑOS Y PERJ. AUTOM. S/LESIONES (EXC. ESTADO)</w:t>
      </w:r>
      <w:r>
        <w:rPr>
          <w:b/>
          <w:lang w:val="es-AR" w:eastAsia="es-AR" w:bidi="es-AR"/>
        </w:rPr>
        <w:t xml:space="preserve">"</w:t>
      </w:r>
      <w:r>
        <w:rPr>
          <w:lang w:val="es-AR" w:eastAsia="es-AR" w:bidi="es-AR"/>
        </w:rPr>
        <w:t xml:space="preserve">, Expte. N° </w:t>
      </w:r>
      <w:r>
        <w:rPr>
          <w:color w:val="000000"/>
          <w:lang w:val="es-AR" w:eastAsia="es-AR" w:bidi="es-AR"/>
        </w:rPr>
        <w:t xml:space="preserve">66.514</w:t>
      </w:r>
      <w:r>
        <w:rPr>
          <w:color w:val="000000"/>
          <w:lang w:val="es-AR" w:eastAsia="es-AR" w:bidi="es-AR"/>
        </w:rPr>
        <w:t xml:space="preserve"> y su acumulada N° 5793-25 </w:t>
      </w:r>
      <w:r>
        <w:rPr>
          <w:b/>
          <w:lang w:val="es-AR" w:eastAsia="es-AR" w:bidi="es-AR"/>
        </w:rPr>
        <w:t xml:space="preserve">"MASTROGIACOMO</w:t>
      </w:r>
      <w:r>
        <w:rPr>
          <w:b/>
          <w:color w:val="000000"/>
          <w:lang w:val="es-AR" w:eastAsia="es-AR" w:bidi="es-AR"/>
        </w:rPr>
        <w:t xml:space="preserve"> FEDERICO C/ SEGUROMETAL COOPERATIVA DE SEGUROS LTDA. S/ DAÑOS Y PERJ. AUTOM. S/LESIONES (EXC. ESTADO)</w:t>
      </w:r>
      <w:r>
        <w:rPr>
          <w:b/>
          <w:lang w:val="es-AR" w:eastAsia="es-AR" w:bidi="es-AR"/>
        </w:rPr>
        <w:t xml:space="preserve">" </w:t>
      </w:r>
      <w:r>
        <w:rPr>
          <w:lang w:val="es-AR" w:eastAsia="es-AR" w:bidi="es-AR"/>
        </w:rPr>
        <w:t xml:space="preserve">Expte. N° 67.506</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u w:val="single"/>
          <w:lang w:val="es-AR" w:eastAsia="es-AR" w:bidi="es-AR"/>
        </w:rPr>
        <w:t xml:space="preserve">Expte. 66.514</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El Sr. Juez de la anterior instancia en el Expte. Nro. 66.514 rechazó la demanda promovida por Federico Mastrogiacomo contra Juana Mariela Ramirez, Facundo Daniel Turenne y Segurometal Coop. de Seguros Ltda.. Impuso las costas a la parte actora perdidosa (Art. 68 del C.P.C.).  Difirió la regulación de honorarios de  los  letrados intervinientes  y  de  los  peritos,  hasta  que  medie  firme  la respectiva liquidación de intereses y gastos (Art. 23 penúltimo apartado y 51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citada en garantía Seguros Bernardino Rivadavia C.L. (14-7-2025), concedido el día 18-7-2025 libremente </w:t>
      </w:r>
      <w:r>
        <w:rPr>
          <w:color w:val="000000"/>
          <w:lang w:val="es-AR" w:eastAsia="es-AR" w:bidi="es-AR"/>
        </w:rPr>
        <w:t xml:space="preserve">y en ambos efectos</w:t>
      </w:r>
      <w:r>
        <w:rPr>
          <w:lang w:val="es-AR" w:eastAsia="es-AR" w:bidi="es-AR"/>
        </w:rPr>
        <w:t xml:space="preserve">.  Elevados los autos a esta Alzada con fecha con fecha 28-8-2025 se ordenó expresar agravios a la citada en garantía, quien el 8-9-2025 los fundó y del mismo el 11-9-2025 traslado a la parte actora, quien el 18-9-2025 lo evacuó.  23-9-2025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A).-En sustento de su crítica recursiva, la actora apelante dirige su crítica contra el aspecto del fallo que le atribuye la incidencia causal plena en la producción del siniestro. A partir de allí, es posible extraer tres puntos fundamental de agravio: 	</w:t>
        <w:br w:type="textWrapping"/>
      </w:r>
      <w:r>
        <w:rPr>
          <w:lang w:val="es-AR" w:eastAsia="es-AR" w:bidi="es-AR"/>
        </w:rPr>
        <w:t xml:space="preserve"> 	1) Errónea absolución de la parte demandada. Al respecto, sostiene que la sentencia valoró de modo equivocado la mecánica del siniestro y las normas de tránsito, pues la demandada se incorporó imprudentemente a la Ruta 8, desde una arteria con señal de “Pare”, realizando un giro a la izquierda y perdiendo la prioridad de paso (arts. 36 y 41 Ley 24.449), por lo que la culpa sería exclusiva de ésta.</w:t>
      </w:r>
    </w:p>
    <w:p>
      <w:pPr>
        <w:pStyle w:val="[Normal]"/>
        <w:spacing w:line="360" w:lineRule="auto"/>
        <w:ind w:firstLine="1134"/>
        <w:jc w:val="both"/>
        <w:rPr>
          <w:lang w:val="es-AR" w:eastAsia="es-AR" w:bidi="es-AR"/>
        </w:rPr>
      </w:pPr>
      <w:r>
        <w:rPr>
          <w:lang w:val="es-AR" w:eastAsia="es-AR" w:bidi="es-AR"/>
        </w:rPr>
        <w:t xml:space="preserve">2) Incorrecta valoración de la prueba técnica y testimonial. Afirma que el a quo tuvo por demostrado un exceso de velocidad del motociclista sin sustento objetivo, apoyándose en un testigo que sólo dijo que </w:t>
      </w:r>
      <w:r>
        <w:rPr>
          <w:i/>
          <w:lang w:val="es-AR" w:eastAsia="es-AR" w:bidi="es-AR"/>
        </w:rPr>
        <w:t xml:space="preserve">“iba fuerte” </w:t>
      </w:r>
      <w:r>
        <w:rPr>
          <w:lang w:val="es-AR" w:eastAsia="es-AR" w:bidi="es-AR"/>
        </w:rPr>
        <w:t xml:space="preserve">y en una lectura sesgada de la pericia, cuando el informe accidentológico expresa que no es posible determinar la velocidad del rodado.</w:t>
      </w:r>
    </w:p>
    <w:p>
      <w:pPr>
        <w:pStyle w:val="[Normal]"/>
        <w:spacing w:line="360" w:lineRule="auto"/>
        <w:ind w:firstLine="1134"/>
        <w:jc w:val="both"/>
        <w:rPr>
          <w:lang w:val="es-AR" w:eastAsia="es-AR" w:bidi="es-AR"/>
        </w:rPr>
      </w:pPr>
      <w:r>
        <w:rPr>
          <w:lang w:val="es-AR" w:eastAsia="es-AR" w:bidi="es-AR"/>
        </w:rPr>
        <w:t xml:space="preserve">B) A su turno, la parte demandada evacúa el traslado de la apelación. Y en tal sentido, solicita que se declare desierto el recurso por carecer el memorial de una crítica concreta y razonada, limitándose -según afirma- a reproducir los argumentos de la contestación de demanda y a descalificar genéricamente la sentencia. Subsidiariamente, postula el rechazo de la apelación y la confirmación íntegra del fallo de grado, sosteniendo que el propio actor reconoció en sede penal que se desplazaba a una velocidad excesiva que le impidió mantener el dominio de la moto, lo que refuerza la conclusión de culpa exclusiva. Sobre esa base, sostiene que los agravios no logran desvirtuar la valoración probatoria ni la solución jurídica adoptada por el a quo.</w:t>
      </w:r>
    </w:p>
    <w:p>
      <w:pPr>
        <w:pStyle w:val="[Normal]"/>
        <w:spacing w:line="360" w:lineRule="auto"/>
        <w:ind w:firstLine="1134"/>
        <w:jc w:val="both"/>
        <w:rPr>
          <w:lang w:val="es-AR" w:eastAsia="es-AR" w:bidi="es-AR"/>
        </w:rPr>
      </w:pPr>
      <w:r>
        <w:rPr>
          <w:lang w:val="es-AR" w:eastAsia="es-AR" w:bidi="es-AR"/>
        </w:rPr>
        <w:t xml:space="preserve">Entrando a resolver, advierto que la cuestión sometida a revisión versa en torno a la juridicidad de la absolución de la parte demandada que fuera decretada por el Juez de Primera Instancia. </w:t>
      </w:r>
    </w:p>
    <w:p>
      <w:pPr>
        <w:pStyle w:val="[Normal]"/>
        <w:spacing w:line="360" w:lineRule="auto"/>
        <w:ind w:firstLine="1134"/>
        <w:jc w:val="both"/>
        <w:rPr>
          <w:lang w:val="es-AR" w:eastAsia="es-AR" w:bidi="es-AR"/>
        </w:rPr>
      </w:pPr>
      <w:r>
        <w:rPr>
          <w:lang w:val="es-AR" w:eastAsia="es-AR" w:bidi="es-AR"/>
        </w:rPr>
        <w:t xml:space="preserve">Sobre dicha base de análisis, procederé al tratamiento de los aspectos críticos anteriormente enumerados, adoptando una metodología que correlacione la dimensión fáctica, probatoria y jurídica aplicable al caso aquí examinado.</w:t>
      </w:r>
    </w:p>
    <w:p>
      <w:pPr>
        <w:pStyle w:val="[Normal]"/>
        <w:spacing w:line="360" w:lineRule="auto"/>
        <w:ind w:firstLine="1134"/>
        <w:jc w:val="both"/>
        <w:rPr>
          <w:lang w:val="es-AR" w:eastAsia="es-AR" w:bidi="es-AR"/>
        </w:rPr>
      </w:pPr>
      <w:r>
        <w:rPr>
          <w:lang w:val="es-AR" w:eastAsia="es-AR" w:bidi="es-AR"/>
        </w:rPr>
        <w:t xml:space="preserve">I.- Impuesto en tal tarea, resulta conveniente repasar la plataforma fáctica fijada en la instancia anterior y no puntualmente rebatida: el siniestro tuvo lugar en la intersección de Bv. J. D. Perón y Av. Ricardo Balbín (Ruta Nac. N° 8), circulando el automóvil Volkswagen Gol conducido por la Sra. Ramírez por Bv. Perón en sentido norte–sur, y la motocicleta Yamaha guiada por el Sr. Mastrogiacomo por Ruta 8 en sentido este–oeste. Sobre la mecánica, la perito accidentóloga de la IPP precisó que la moto, al arribar a la intersección por la ruta, pese a intentar una maniobra evasiva, impacta con su frente izquierdo el lateral posterior izquierdo del Volkswagen, concluyendo que la motocicleta revistió el carácter de embestidor físico–mecánico y el automóvil el de embestido. A este dictamen adhirió sin reservas el perito ingeniero mecánico designado en sede civil, quien reiteró su pleno acuerdo con la pericia de Policía Científica obrante en la IPP.</w:t>
      </w:r>
    </w:p>
    <w:p>
      <w:pPr>
        <w:pStyle w:val="[Normal]"/>
        <w:spacing w:line="360" w:lineRule="auto"/>
        <w:ind w:firstLine="1134"/>
        <w:jc w:val="both"/>
        <w:rPr>
          <w:lang w:val="es-AR" w:eastAsia="es-AR" w:bidi="es-AR"/>
        </w:rPr>
      </w:pPr>
      <w:r>
        <w:rPr>
          <w:lang w:val="es-AR" w:eastAsia="es-AR" w:bidi="es-AR"/>
        </w:rPr>
        <w:t xml:space="preserve">Desde el punto de vista normativo, el caso se rige por el sistema de responsabilidad objetiva por riesgo creado (arts. 1757 y 1769 CCyCN), de modo que, acreditada la intervención activa de la cosa riesgosa (la motocicleta) y el daño, pesa sobre el dueño o guardián la carga de demostrar una causa ajena que rompa total o parcialmente el nexo causal (culpa de la víctima o de un tercero, art. 1729 CCyCN). De ello se sigue que, en orden al progreso de la pretensión impugnativa esbozada por el apelante, no basta con invocar una infracción de tránsito atribuible a la accionada, sino que es menester probar también que tal conducta fue la causa adecuada y relevante del resultado dañoso.</w:t>
      </w:r>
    </w:p>
    <w:p>
      <w:pPr>
        <w:pStyle w:val="[Normal]"/>
        <w:spacing w:line="360" w:lineRule="auto"/>
        <w:ind w:firstLine="1134"/>
        <w:jc w:val="both"/>
        <w:rPr>
          <w:lang w:val="es-AR" w:eastAsia="es-AR" w:bidi="es-AR"/>
        </w:rPr>
      </w:pPr>
      <w:r>
        <w:rPr>
          <w:lang w:val="es-AR" w:eastAsia="es-AR" w:bidi="es-AR"/>
        </w:rPr>
        <w:t xml:space="preserve">Encuadrada jurídicamente la cuestión, asumiré como cierto que el propio sentenciante de grado tuvo por acreditada la existencia de un cartel de “Pare” sobre Bv. Perón, señal que impone la detención previa al cruce y, además, que la prioridad genérica del art. 41 Ley 24.449 cede frente a la señalización específica (art. 36, ley cit.). Estas circunstancias surgen de la sentencia recurrida y son reconocidas por el recurrente. Sin embargo, tal reconocimiento normativo no conduce automáticamente -como postula la parte apelante- a la exoneración del motociclista. La pérdida de prioridad no convierte por sí sola en culpable exclusiva a la conductora del automotor. Vale decir, la prioridad es un elemento relevante en la apreciación global de la responsabilidad, pero no desplaza el deber permanente de todo conductor de circular con cuidado, prevención y dominio efectivo del rodado (art. 39 Ley 24.449), ni neutraliza el efecto causal de eventuales infracciones propias.</w:t>
      </w:r>
    </w:p>
    <w:p>
      <w:pPr>
        <w:pStyle w:val="[Normal]"/>
        <w:spacing w:line="360" w:lineRule="auto"/>
        <w:ind w:firstLine="1134"/>
        <w:jc w:val="both"/>
        <w:rPr>
          <w:lang w:val="es-AR" w:eastAsia="es-AR" w:bidi="es-AR"/>
        </w:rPr>
      </w:pPr>
      <w:r>
        <w:rPr>
          <w:lang w:val="es-AR" w:eastAsia="es-AR" w:bidi="es-AR"/>
        </w:rPr>
        <w:t xml:space="preserve">En este sentido, la prueba pericial y testimonial examinada por el a quo revela que el factor decisivo del accidente fue el modo en que el actor comandaba la motocicleta. El perito ingeniero Ferretti, luego de analizar en detalle los daños en ambos rodados y las constancias de la IPP, sostuvo que, </w:t>
      </w:r>
      <w:r>
        <w:rPr>
          <w:i/>
          <w:lang w:val="es-AR" w:eastAsia="es-AR" w:bidi="es-AR"/>
        </w:rPr>
        <w:t xml:space="preserve">“en función a la evaluación de los daños observados, la motocicleta superaba los 20 km/h al momento del impacto”</w:t>
      </w:r>
      <w:r>
        <w:rPr>
          <w:lang w:val="es-AR" w:eastAsia="es-AR" w:bidi="es-AR"/>
        </w:rPr>
        <w:t xml:space="preserve">, adhiriendo íntegramente a las conclusiones de Policía Científica (ver pericia obrante en presentación electrónica de fecha 6/5/2025). Tal apreciación cobra particular relevancia si se atiende a que en el lugar existía limitación de velocidad a 20 km/h y a que ni el dictamen oficial ni las explicaciones ampliatorias fueron oportunamente impugnados por las partes, circunstancia expresamente destacada por el propio sentenciante.</w:t>
      </w:r>
    </w:p>
    <w:p>
      <w:pPr>
        <w:pStyle w:val="[Normal]"/>
        <w:spacing w:line="360" w:lineRule="auto"/>
        <w:ind w:firstLine="1134"/>
        <w:jc w:val="both"/>
        <w:rPr>
          <w:lang w:val="es-AR" w:eastAsia="es-AR" w:bidi="es-AR"/>
        </w:rPr>
      </w:pPr>
      <w:r>
        <w:rPr>
          <w:lang w:val="es-AR" w:eastAsia="es-AR" w:bidi="es-AR"/>
        </w:rPr>
        <w:t xml:space="preserve">A lo anterior se suma la referencia, obrante en las constancias penales (ver fs. 28 de la IPP 12-00-002576-22/00) y resaltada por la parte demandada, a la declaración del propio actor, quien reconoció circular a una velocidad tal que no le permitió conservar el pleno dominio del motovehículo al intentar la maniobra evasiva. Tal manifestación, versando sobre hechos personales y potencialmente perjudiciales para su declarante, fue valorada por el a quo con alcance confesional, reforzando la conclusión de que el motociclista infringió el deber legal de cuidado.</w:t>
      </w:r>
    </w:p>
    <w:p>
      <w:pPr>
        <w:pStyle w:val="[Normal]"/>
        <w:spacing w:line="360" w:lineRule="auto"/>
        <w:ind w:firstLine="1134"/>
        <w:jc w:val="both"/>
        <w:rPr>
          <w:lang w:val="es-AR" w:eastAsia="es-AR" w:bidi="es-AR"/>
        </w:rPr>
      </w:pPr>
      <w:r>
        <w:rPr>
          <w:lang w:val="es-AR" w:eastAsia="es-AR" w:bidi="es-AR"/>
        </w:rPr>
        <w:t xml:space="preserve">A mayor abundamiento, resulta particularmente relevante, para reafirmar la absorción causal de la culpa del motociclista, destacar la secuencia temporal de ingreso de los vehículos a la encrucijada. De las constancias de autos surge que el automóvil conducido por Ramírez ya había accedido con antelación a la Ruta 8 y se hallaba prácticamente finalizando el cruce cuando se produce el impacto sobre su lateral trasero izquierdo. Ello revela que el Volkswagen no </w:t>
      </w:r>
      <w:r>
        <w:rPr>
          <w:i/>
          <w:lang w:val="es-AR" w:eastAsia="es-AR" w:bidi="es-AR"/>
        </w:rPr>
        <w:t xml:space="preserve">“irrumpió”</w:t>
      </w:r>
      <w:r>
        <w:rPr>
          <w:lang w:val="es-AR" w:eastAsia="es-AR" w:bidi="es-AR"/>
        </w:rPr>
        <w:t xml:space="preserve"> súbitamente en la línea de marcha de la moto, sino que venía cumpliendo una trayectoria ya iniciada y desplegada en el cruce, lo que otorga al conductor de la motocicleta un lapso razonable para advertir su presencia, adecuar la velocidad, maniobrar y, en última instancia, evitar la colisión.</w:t>
      </w:r>
    </w:p>
    <w:p>
      <w:pPr>
        <w:pStyle w:val="[Normal]"/>
        <w:spacing w:line="360" w:lineRule="auto"/>
        <w:ind w:firstLine="1134"/>
        <w:jc w:val="both"/>
        <w:rPr>
          <w:lang w:val="es-AR" w:eastAsia="es-AR" w:bidi="es-AR"/>
        </w:rPr>
      </w:pPr>
      <w:r>
        <w:rPr>
          <w:lang w:val="es-AR" w:eastAsia="es-AR" w:bidi="es-AR"/>
        </w:rPr>
        <w:t xml:space="preserve">En ese contexto, el hecho de que la motocicleta sea el embestidor frontal del lateral posterior del automóvil no sólo confirma que el rodado mayor había ingresado antes a la zona de conflicto, sino que pone de manifiesto que fue el motociclista quien, por la forma y velocidad de su circulación, terminó alcanzando y golpeando por detrás un vehículo ya prácticamente instalado en la nueva vía. </w:t>
      </w:r>
    </w:p>
    <w:p>
      <w:pPr>
        <w:pStyle w:val="[Normal]"/>
        <w:spacing w:line="360" w:lineRule="auto"/>
        <w:ind w:firstLine="1134"/>
        <w:jc w:val="both"/>
        <w:rPr>
          <w:lang w:val="es-AR" w:eastAsia="es-AR" w:bidi="es-AR"/>
        </w:rPr>
      </w:pPr>
      <w:r>
        <w:rPr>
          <w:lang w:val="es-AR" w:eastAsia="es-AR" w:bidi="es-AR"/>
        </w:rPr>
        <w:t xml:space="preserve">La dinámica objetiva del choque muestra entonces que el riesgo decisivo provino de la moto: si ésta hubiera circulado a una velocidad compatible con el lugar y manteniendo el dominio efectivo del rodado, la presencia de un vehículo que ya atravesaba la encrucijada no habría derivado en el resultado dañoso. Dicho en otros términos, de haber venido la moto circulando a velocidad permitida, resulta evidente que el ejercicio del derecho de cruce por parte de los accionados habría sido absolutamente inocuo. </w:t>
      </w:r>
    </w:p>
    <w:p>
      <w:pPr>
        <w:pStyle w:val="[Normal]"/>
        <w:spacing w:line="360" w:lineRule="auto"/>
        <w:ind w:firstLine="1134"/>
        <w:jc w:val="both"/>
        <w:rPr>
          <w:lang w:val="es-AR" w:eastAsia="es-AR" w:bidi="es-AR"/>
        </w:rPr>
      </w:pPr>
      <w:r>
        <w:rPr>
          <w:lang w:val="es-AR" w:eastAsia="es-AR" w:bidi="es-AR"/>
        </w:rPr>
        <w:t xml:space="preserve">Por ello, la anterioridad en el arribo del automóvil a la ruta funciona como un dato fáctico clave que conjugado con el exceso de velocidad de la motocicleta refuerza la ajenidad del automovilista y excluye la posibilidad de trasladar a éste una incidencia causal jurídicamente relevante en la producción del siniestro.</w:t>
      </w:r>
    </w:p>
    <w:p>
      <w:pPr>
        <w:pStyle w:val="[Normal]"/>
        <w:spacing w:line="360" w:lineRule="auto"/>
        <w:ind w:firstLine="1134"/>
        <w:jc w:val="both"/>
        <w:rPr>
          <w:lang w:val="es-AR" w:eastAsia="es-AR" w:bidi="es-AR"/>
        </w:rPr>
      </w:pPr>
      <w:r>
        <w:rPr>
          <w:lang w:val="es-AR" w:eastAsia="es-AR" w:bidi="es-AR"/>
        </w:rPr>
        <w:t xml:space="preserve">Al respecto, es pertinente vincular la secuencia temporal de ingreso de los vehículos con el alcance jurídico de la prioridad de paso, pues ésta no es un privilegio absoluto, completamente ajeno al tiempo de arribo a la encrucijada.</w:t>
      </w:r>
    </w:p>
    <w:p>
      <w:pPr>
        <w:pStyle w:val="[Normal]"/>
        <w:spacing w:line="360" w:lineRule="auto"/>
        <w:ind w:firstLine="1134"/>
        <w:jc w:val="both"/>
        <w:rPr>
          <w:lang w:val="es-AR" w:eastAsia="es-AR" w:bidi="es-AR"/>
        </w:rPr>
      </w:pPr>
      <w:r>
        <w:rPr>
          <w:lang w:val="es-AR" w:eastAsia="es-AR" w:bidi="es-AR"/>
        </w:rPr>
        <w:t xml:space="preserve">Aun cuando se admitiera que la motocicleta circulaba por una vía de jerarquía superior o gozaba, en abstracto, de una prioridad normativa, lo cierto es que tal preferencia no opera de modo ilimitado ni incondicionado. La prioridad </w:t>
      </w:r>
      <w:r>
        <w:rPr>
          <w:i/>
          <w:lang w:val="es-AR" w:eastAsia="es-AR" w:bidi="es-AR"/>
        </w:rPr>
        <w:t xml:space="preserve">“no ampara el embestimiento bajo cualquier condición”</w:t>
      </w:r>
      <w:r>
        <w:rPr>
          <w:lang w:val="es-AR" w:eastAsia="es-AR" w:bidi="es-AR"/>
        </w:rPr>
        <w:t xml:space="preserve">: si el otro vehículo ya ha iniciado el cruce y se encuentra prácticamente culminándolo, el conductor que se dice prioritario no puede desentenderse de esa realidad fáctica y avanzar como si la encrucijada estuviera libre excediendo incluso los límites de velocidad permitidos.</w:t>
      </w:r>
    </w:p>
    <w:p>
      <w:pPr>
        <w:pStyle w:val="[Normal]"/>
        <w:spacing w:line="360" w:lineRule="auto"/>
        <w:ind w:firstLine="1134"/>
        <w:jc w:val="both"/>
        <w:rPr>
          <w:lang w:val="es-AR" w:eastAsia="es-AR" w:bidi="es-AR"/>
        </w:rPr>
      </w:pPr>
      <w:r>
        <w:rPr>
          <w:lang w:val="es-AR" w:eastAsia="es-AR" w:bidi="es-AR"/>
        </w:rPr>
        <w:t xml:space="preserve">En el caso, quedó demostrado que el automóvil conducido por Ramírez arribó antes a la zona de conflicto, inició el cruce y fue alcanzado en su sector posterior izquierdo por el frente de la motocicleta que venía desplazándose a velocidad excesiva. Ello revela, por un lado, que la preferencia invocada por el actor no podía ejercerse desconociendo la presencia de un vehículo que ya transitaba la encrucijada; y, por otro, que fue la moto la que, por su velocidad y forma de circulación, terminó colisionando a un rodado que se encontraba prácticamente instalado en la nueva vía.</w:t>
      </w:r>
    </w:p>
    <w:p>
      <w:pPr>
        <w:pStyle w:val="[Normal]"/>
        <w:spacing w:line="360" w:lineRule="auto"/>
        <w:ind w:firstLine="1134"/>
        <w:jc w:val="both"/>
        <w:rPr>
          <w:lang w:val="es-AR" w:eastAsia="es-AR" w:bidi="es-AR"/>
        </w:rPr>
      </w:pPr>
      <w:r>
        <w:rPr>
          <w:lang w:val="es-AR" w:eastAsia="es-AR" w:bidi="es-AR"/>
        </w:rPr>
        <w:t xml:space="preserve">Así, el factor temporal de la prioridad –esto es, quién accede primero al cruce y en qué estadio se halla la maniobra del otro vehículo– junto con la velocidad excesiva y superior a la permitida del vehículo embistente se transforma en un elemento decisivo para valorar la responsabilidad. </w:t>
      </w:r>
    </w:p>
    <w:p>
      <w:pPr>
        <w:pStyle w:val="[Normal]"/>
        <w:spacing w:line="360" w:lineRule="auto"/>
        <w:ind w:firstLine="1134"/>
        <w:jc w:val="both"/>
        <w:rPr>
          <w:lang w:val="es-AR" w:eastAsia="es-AR" w:bidi="es-AR"/>
        </w:rPr>
      </w:pPr>
      <w:r>
        <w:rPr>
          <w:lang w:val="es-AR" w:eastAsia="es-AR" w:bidi="es-AR"/>
        </w:rPr>
        <w:t xml:space="preserve">Así pues, en la medida en que el automóvil había adelantado su ingreso a la intersección, la eventual prioridad abstracta del motociclista quedaba condicionada por el deber de adecuar su marcha a las circunstancias del tránsito, de modo tal que no podía legítimamente prevalerse de ella para justificar una conducta que culmina en el embestimiento del lateral trasero del otro rodado. Esta conjugación entre tiempo de arribo y dinámica del impacto refuerza, entonces, la atribución causal culposa del conductor de la motocicleta.</w:t>
      </w:r>
    </w:p>
    <w:p>
      <w:pPr>
        <w:pStyle w:val="[Normal]"/>
        <w:spacing w:line="360" w:lineRule="auto"/>
        <w:ind w:firstLine="1134"/>
        <w:jc w:val="both"/>
        <w:rPr>
          <w:lang w:val="es-AR" w:eastAsia="es-AR" w:bidi="es-AR"/>
        </w:rPr>
      </w:pPr>
      <w:r>
        <w:rPr>
          <w:lang w:val="es-AR" w:eastAsia="es-AR" w:bidi="es-AR"/>
        </w:rPr>
        <w:t xml:space="preserve">Al respecto, la Corte bonaerense ha dicho que: </w:t>
      </w:r>
      <w:r>
        <w:rPr>
          <w:i/>
          <w:lang w:val="es-AR" w:eastAsia="es-AR" w:bidi="es-AR"/>
        </w:rPr>
        <w:t xml:space="preserve">"... la regla derecha antes que izquierda no representa ningún ´bill de indemnidad´ que autorice al que aparece por la derecha de otro vehículo a arrasar con todo lo que encuentre a su izquierda (cfr. C. 101.402, sent. de 11-8-2010; C. 104.558, sent. de 11-5-2011; etc.). Tal prioridad que -en principio- es absoluta, no puede ser evaluada en forma autónoma sino, por el contrario, imbricada en el contexto general de las normas de tránsito, analizando su vigencia en correspondencia con la simultánea existencia de otras infracciones y en correlación, también, con los preceptos del Código Civil que disciplinan la responsabilidad por daños"</w:t>
      </w:r>
      <w:r>
        <w:rPr>
          <w:lang w:val="es-AR" w:eastAsia="es-AR" w:bidi="es-AR"/>
        </w:rPr>
        <w:t xml:space="preserve">. En consecuencia, concluyó el Alto Tribunal que: </w:t>
      </w:r>
      <w:r>
        <w:rPr>
          <w:i/>
          <w:lang w:val="es-AR" w:eastAsia="es-AR" w:bidi="es-AR"/>
        </w:rPr>
        <w:t xml:space="preserve">"Está viciada por el absurdo la sentencia que exime de toda responsabilidad al conductor por considerar solamente que portaba la prioridad de paso en el cruce, lo cual importa un juicio de valor manifiestamente distorsionado, al soslayar las restantes circunstancias acreditadas de la causa como son: su carácter de embistente, la ubicación del punto de impacto y la potencia de la colisión. Ellas demuestran que el accionado hizo caso omiso de la regla que manda "circular con el debido cuidado y prevención, conservando en todo momento el dominio efectivo del vehículo o animal, teniendo en cuenta los riesgos propios de la circulación y demás circunstancias del tránsito" (cfr. art. 39, ley 24.449). Tal incumplimiento resulta idóneo para incidir en la producción y mecánica del evento, por lo cual no puede sostenerse su irresponsabilidad en el siniestro"</w:t>
      </w:r>
      <w:r>
        <w:rPr>
          <w:lang w:val="es-AR" w:eastAsia="es-AR" w:bidi="es-AR"/>
        </w:rPr>
        <w:t xml:space="preserve"> (SCBA LP C 120758 S 29/08/2017 Juez PETTIGIANI (MA), Carátula: Del Palacio, Alexis Claudio Damián contra Pertini, Esteban Hernán y otro. Daños y perjuicios).</w:t>
      </w:r>
    </w:p>
    <w:p>
      <w:pPr>
        <w:pStyle w:val="[Normal]"/>
        <w:spacing w:line="360" w:lineRule="auto"/>
        <w:ind w:firstLine="1134"/>
        <w:jc w:val="both"/>
        <w:rPr>
          <w:lang w:val="es-AR" w:eastAsia="es-AR" w:bidi="es-AR"/>
        </w:rPr>
      </w:pPr>
      <w:r>
        <w:rPr>
          <w:lang w:val="es-AR" w:eastAsia="es-AR" w:bidi="es-AR"/>
        </w:rPr>
        <w:t xml:space="preserve">Frente a este cuadro de situación, la tesis recursiva según la cual el mero hecho de que la Sra. Ramírez se hubiera detenido y girado para incorporarse a la Ruta 8 bastaría para desplazar íntegramente la responsabilidad hacia su esfera resulta insostenible. </w:t>
      </w:r>
    </w:p>
    <w:p>
      <w:pPr>
        <w:pStyle w:val="[Normal]"/>
        <w:spacing w:line="360" w:lineRule="auto"/>
        <w:ind w:firstLine="1134"/>
        <w:jc w:val="both"/>
        <w:rPr>
          <w:lang w:val="es-AR" w:eastAsia="es-AR" w:bidi="es-AR"/>
        </w:rPr>
      </w:pPr>
      <w:r>
        <w:rPr>
          <w:lang w:val="es-AR" w:eastAsia="es-AR" w:bidi="es-AR"/>
        </w:rPr>
        <w:t xml:space="preserve">En definitiva, el a quo no desatendió la existencia del cartel de </w:t>
      </w:r>
      <w:r>
        <w:rPr>
          <w:i/>
          <w:lang w:val="es-AR" w:eastAsia="es-AR" w:bidi="es-AR"/>
        </w:rPr>
        <w:t xml:space="preserve">“Pare”</w:t>
      </w:r>
      <w:r>
        <w:rPr>
          <w:lang w:val="es-AR" w:eastAsia="es-AR" w:bidi="es-AR"/>
        </w:rPr>
        <w:t xml:space="preserve"> ni la regla de prioridad; por el contrario, las ponderó expresamente, pero concluyó -con razonamiento que este Tribunal comparte- que la infracción atribuible a la actora no alcanzaba, en el contexto probatorio de la causa, para desplazar la incidencia decisiva del obrar del motociclista. El agravio, al limitarse a reeditar la versión argüida en la instancia anterior, sin rebatir de modo concreto y eficaz la valoración conjunta de la prueba pericial y las propias manifestaciones del demandado, no logra evidenciar error de hecho ni de derecho en la sentencia recurrida.</w:t>
      </w:r>
    </w:p>
    <w:p>
      <w:pPr>
        <w:pStyle w:val="[Normal]"/>
        <w:spacing w:line="360" w:lineRule="auto"/>
        <w:ind w:firstLine="1134"/>
        <w:jc w:val="both"/>
        <w:rPr>
          <w:lang w:val="es-AR" w:eastAsia="es-AR" w:bidi="es-AR"/>
        </w:rPr>
      </w:pPr>
      <w:r>
        <w:rPr>
          <w:lang w:val="es-AR" w:eastAsia="es-AR" w:bidi="es-AR"/>
        </w:rPr>
        <w:t xml:space="preserve">En suma, advierto que en el caso ha quedado configurada la culpa o hecho de la víctima como eximente de responsabilidad que quiebra el nexo causal entre el riesgo y el daño (cf. 1729 y 1757) en razón de las siguientes circunstancias:	</w:t>
      </w:r>
    </w:p>
    <w:p>
      <w:pPr>
        <w:pStyle w:val="[Normal]"/>
        <w:spacing w:line="360" w:lineRule="auto"/>
        <w:ind w:firstLine="1134"/>
        <w:jc w:val="both"/>
        <w:rPr>
          <w:lang w:val="es-AR" w:eastAsia="es-AR" w:bidi="es-AR"/>
        </w:rPr>
      </w:pPr>
      <w:r>
        <w:rPr>
          <w:lang w:val="es-AR" w:eastAsia="es-AR" w:bidi="es-AR"/>
        </w:rPr>
        <w:t xml:space="preserve">1) el rol de embestidor frontal asumido por el conductor de la motocicleta.</w:t>
      </w:r>
    </w:p>
    <w:p>
      <w:pPr>
        <w:pStyle w:val="[Normal]"/>
        <w:spacing w:line="360" w:lineRule="auto"/>
        <w:ind w:firstLine="1134"/>
        <w:jc w:val="both"/>
        <w:rPr>
          <w:lang w:val="es-AR" w:eastAsia="es-AR" w:bidi="es-AR"/>
        </w:rPr>
      </w:pPr>
      <w:r>
        <w:rPr>
          <w:lang w:val="es-AR" w:eastAsia="es-AR" w:bidi="es-AR"/>
        </w:rPr>
        <w:t xml:space="preserve">2) el exceso de velocidad del conductor de la motocicleta.</w:t>
      </w:r>
    </w:p>
    <w:p>
      <w:pPr>
        <w:pStyle w:val="[Normal]"/>
        <w:spacing w:line="360" w:lineRule="auto"/>
        <w:ind w:firstLine="1134"/>
        <w:jc w:val="both"/>
        <w:rPr>
          <w:lang w:val="es-AR" w:eastAsia="es-AR" w:bidi="es-AR"/>
        </w:rPr>
      </w:pPr>
      <w:r>
        <w:rPr>
          <w:lang w:val="es-AR" w:eastAsia="es-AR" w:bidi="es-AR"/>
        </w:rPr>
        <w:t xml:space="preserve">3) El arribo notoriamente posterior del accionante a la encrucijada.</w:t>
      </w:r>
    </w:p>
    <w:p>
      <w:pPr>
        <w:pStyle w:val="[Normal]"/>
        <w:spacing w:line="360" w:lineRule="auto"/>
        <w:ind w:firstLine="1134"/>
        <w:jc w:val="both"/>
        <w:rPr>
          <w:lang w:val="es-AR" w:eastAsia="es-AR" w:bidi="es-AR"/>
        </w:rPr>
      </w:pPr>
      <w:r>
        <w:rPr>
          <w:lang w:val="es-AR" w:eastAsia="es-AR" w:bidi="es-AR"/>
        </w:rPr>
        <w:t xml:space="preserve">4) La falta de prueba respecto a la alegada no detención previa del vehículo del demandado al arribar al cruce.</w:t>
      </w:r>
    </w:p>
    <w:p>
      <w:pPr>
        <w:pStyle w:val="[Normal]"/>
        <w:spacing w:line="360" w:lineRule="auto"/>
        <w:ind w:firstLine="1134"/>
        <w:jc w:val="both"/>
        <w:rPr>
          <w:lang w:val="es-AR" w:eastAsia="es-AR" w:bidi="es-AR"/>
        </w:rPr>
      </w:pPr>
      <w:r>
        <w:rPr>
          <w:lang w:val="es-AR" w:eastAsia="es-AR" w:bidi="es-AR"/>
        </w:rPr>
        <w:t xml:space="preserve">5) las características especiales de la encrucijada en cuestión -signada por una multiplicidad de caminos y vías alternativas- en tanto factor que agrava el deber de reducir la velocidad en dicho sector.</w:t>
      </w:r>
    </w:p>
    <w:p>
      <w:pPr>
        <w:pStyle w:val="[Normal]"/>
        <w:spacing w:line="360" w:lineRule="auto"/>
        <w:ind w:firstLine="1134"/>
        <w:jc w:val="both"/>
        <w:rPr>
          <w:lang w:val="es-AR" w:eastAsia="es-AR" w:bidi="es-AR"/>
        </w:rPr>
      </w:pPr>
      <w:r>
        <w:rPr>
          <w:lang w:val="es-AR" w:eastAsia="es-AR" w:bidi="es-AR"/>
        </w:rPr>
        <w:t xml:space="preserve">6) el reconocimiento del propio actor acerca de la pérdida de dominio del vehículo.</w:t>
      </w:r>
    </w:p>
    <w:p>
      <w:pPr>
        <w:pStyle w:val="[Normal]"/>
        <w:spacing w:line="360" w:lineRule="auto"/>
        <w:ind w:firstLine="1134"/>
        <w:jc w:val="both"/>
        <w:rPr>
          <w:lang w:val="es-AR" w:eastAsia="es-AR" w:bidi="es-AR"/>
        </w:rPr>
      </w:pPr>
      <w:r>
        <w:rPr>
          <w:lang w:val="es-AR" w:eastAsia="es-AR" w:bidi="es-AR"/>
        </w:rPr>
        <w:t xml:space="preserve">II.- En lo que atañe al segundo agravio, centrado en la supuesta errónea valoración de la prueba técnica y testimonial relativa a la velocidad de la motocicleta, tampoco advierto que la crítica resulte atendible.</w:t>
      </w:r>
    </w:p>
    <w:p>
      <w:pPr>
        <w:pStyle w:val="[Normal]"/>
        <w:spacing w:line="360" w:lineRule="auto"/>
        <w:ind w:firstLine="1134"/>
        <w:jc w:val="both"/>
        <w:rPr>
          <w:lang w:val="es-AR" w:eastAsia="es-AR" w:bidi="es-AR"/>
        </w:rPr>
      </w:pPr>
      <w:r>
        <w:rPr>
          <w:lang w:val="es-AR" w:eastAsia="es-AR" w:bidi="es-AR"/>
        </w:rPr>
        <w:t xml:space="preserve">La parte apelante sostiene, en síntesis, que el a quo habría incurrido en un </w:t>
      </w:r>
      <w:r>
        <w:rPr>
          <w:i/>
          <w:lang w:val="es-AR" w:eastAsia="es-AR" w:bidi="es-AR"/>
        </w:rPr>
        <w:t xml:space="preserve">“absurdo”</w:t>
      </w:r>
      <w:r>
        <w:rPr>
          <w:lang w:val="es-AR" w:eastAsia="es-AR" w:bidi="es-AR"/>
        </w:rPr>
        <w:t xml:space="preserve"> al tener por acreditado que la motocicleta circulaba por encima de la velocidad máxima permitida, basándose en la aclaración del perito ingeniero Ferretti y en la declaración del testigo Sotelo (</w:t>
      </w:r>
      <w:r>
        <w:rPr>
          <w:i/>
          <w:lang w:val="es-AR" w:eastAsia="es-AR" w:bidi="es-AR"/>
        </w:rPr>
        <w:t xml:space="preserve">“iba fuerte”</w:t>
      </w:r>
      <w:r>
        <w:rPr>
          <w:lang w:val="es-AR" w:eastAsia="es-AR" w:bidi="es-AR"/>
        </w:rPr>
        <w:t xml:space="preserve">) -ver audiencia testimonial de fecha 24/4/2025-, cuando -según destaca- la pericia accidentológica producida por la Oficial Principal Marí Soledad Emile obrante en la causa penal ya referida expresamente concluyó que </w:t>
      </w:r>
      <w:r>
        <w:rPr>
          <w:i/>
          <w:lang w:val="es-AR" w:eastAsia="es-AR" w:bidi="es-AR"/>
        </w:rPr>
        <w:t xml:space="preserve">“con los datos aportados no es posible determinar la velocidad mínima en la que circularían las unidades intervinientes”</w:t>
      </w:r>
      <w:r>
        <w:rPr>
          <w:lang w:val="es-AR" w:eastAsia="es-AR" w:bidi="es-AR"/>
        </w:rPr>
        <w:t xml:space="preserve">, conclusión luego ratificada en la ampliación de fs. 65/66. A partir de esta premisa, afirma que una pieza técnica de tal entidad no puede verse </w:t>
      </w:r>
      <w:r>
        <w:rPr>
          <w:i/>
          <w:lang w:val="es-AR" w:eastAsia="es-AR" w:bidi="es-AR"/>
        </w:rPr>
        <w:t xml:space="preserve">“desvirtuada”</w:t>
      </w:r>
      <w:r>
        <w:rPr>
          <w:lang w:val="es-AR" w:eastAsia="es-AR" w:bidi="es-AR"/>
        </w:rPr>
        <w:t xml:space="preserve"> por una evaluación de daños o por una apreciación testimonial genérica.</w:t>
      </w:r>
    </w:p>
    <w:p>
      <w:pPr>
        <w:pStyle w:val="[Normal]"/>
        <w:spacing w:line="360" w:lineRule="auto"/>
        <w:ind w:firstLine="1134"/>
        <w:jc w:val="both"/>
        <w:rPr>
          <w:lang w:val="es-AR" w:eastAsia="es-AR" w:bidi="es-AR"/>
        </w:rPr>
      </w:pPr>
      <w:r>
        <w:rPr>
          <w:lang w:val="es-AR" w:eastAsia="es-AR" w:bidi="es-AR"/>
        </w:rPr>
        <w:t xml:space="preserve">Ahora bien, el examen de la sentencia impugnada revela que el juez de grado no se apartó arbitrariamente de la pericia penal, sino que, por el contrario, se apoyó precisamente en ella y en la pericia mecánica producida en sede civil. En efecto, el pronunciamiento señala que el perito oficial Ferretti, luego de realizar un análisis pormenorizado de los elementos de la IPP, declaró adherir </w:t>
      </w:r>
      <w:r>
        <w:rPr>
          <w:i/>
          <w:lang w:val="es-AR" w:eastAsia="es-AR" w:bidi="es-AR"/>
        </w:rPr>
        <w:t xml:space="preserve">“en total acuerdo” </w:t>
      </w:r>
      <w:r>
        <w:rPr>
          <w:lang w:val="es-AR" w:eastAsia="es-AR" w:bidi="es-AR"/>
        </w:rPr>
        <w:t xml:space="preserve">a la pericia confeccionada por Policía Científica y a su ampliación, y que agregó que </w:t>
      </w:r>
      <w:r>
        <w:rPr>
          <w:i/>
          <w:lang w:val="es-AR" w:eastAsia="es-AR" w:bidi="es-AR"/>
        </w:rPr>
        <w:t xml:space="preserve">“en función a la evaluación de los daños observados, la motocicleta superaba los 20 km/h al momento del impacto”</w:t>
      </w:r>
      <w:r>
        <w:rPr>
          <w:lang w:val="es-AR" w:eastAsia="es-AR" w:bidi="es-AR"/>
        </w:rPr>
        <w:t xml:space="preserve">; informes que, además, no fueron objeto de impugnación específica por ninguna de las partes. Sobre esa base fáctica, el a quo tuvo por acreditado que el motovehículo circulaba a una velocidad superior al límite de 20 km/h vigente en el lugar.</w:t>
      </w:r>
    </w:p>
    <w:p>
      <w:pPr>
        <w:pStyle w:val="[Normal]"/>
        <w:spacing w:line="360" w:lineRule="auto"/>
        <w:ind w:firstLine="1134"/>
        <w:jc w:val="both"/>
        <w:rPr>
          <w:lang w:val="es-AR" w:eastAsia="es-AR" w:bidi="es-AR"/>
        </w:rPr>
      </w:pPr>
      <w:r>
        <w:rPr>
          <w:lang w:val="es-AR" w:eastAsia="es-AR" w:bidi="es-AR"/>
        </w:rPr>
        <w:t xml:space="preserve">En tal contexto, la frase de la pericia penal invocada por el apelante -en cuanto refiere a la imposibilidad de determinar la </w:t>
      </w:r>
      <w:r>
        <w:rPr>
          <w:i/>
          <w:lang w:val="es-AR" w:eastAsia="es-AR" w:bidi="es-AR"/>
        </w:rPr>
        <w:t xml:space="preserve">“velocidad mínima”</w:t>
      </w:r>
      <w:r>
        <w:rPr>
          <w:lang w:val="es-AR" w:eastAsia="es-AR" w:bidi="es-AR"/>
        </w:rPr>
        <w:t xml:space="preserve"> de las unidades- no puede ser leída como una prohibición absoluta de extraer toda conclusión técnica sobre la velocidad, sino, antes bien, como la advertencia de que no es posible fijar un valor numérico exacto en términos de km/h. Ello es compatible con que, a partir de las fotografías (ver fs. 7/9 de la causa penal), la distribución y magnitud de los daños (ver pericia mécanica de fs. 20 de la causa penal), la planimetría (ver fs. 45 de la causa penal), el perito mecánico, en ejercicio de su saber específico, pueda formular una inferencia cualitativa y estimativa en el sentido de que la motocicleta superaba el límite reglamentario. La aclaración de Ferretti no contradice, sino que complementa el dictamen de Policía Científica, y la ausencia de impugnación refuerza su fuerza convictiva.</w:t>
      </w:r>
    </w:p>
    <w:p>
      <w:pPr>
        <w:pStyle w:val="[Normal]"/>
        <w:spacing w:line="360" w:lineRule="auto"/>
        <w:ind w:firstLine="1134"/>
        <w:jc w:val="both"/>
        <w:rPr>
          <w:lang w:val="es-AR" w:eastAsia="es-AR" w:bidi="es-AR"/>
        </w:rPr>
      </w:pPr>
      <w:r>
        <w:rPr>
          <w:lang w:val="es-AR" w:eastAsia="es-AR" w:bidi="es-AR"/>
        </w:rPr>
        <w:t xml:space="preserve">Por otro lado, la declaración del testigo Sotelo -único presencial del hecho-, en cuanto indica que la moto </w:t>
      </w:r>
      <w:r>
        <w:rPr>
          <w:i/>
          <w:lang w:val="es-AR" w:eastAsia="es-AR" w:bidi="es-AR"/>
        </w:rPr>
        <w:t xml:space="preserve">“iba fuerte”</w:t>
      </w:r>
      <w:r>
        <w:rPr>
          <w:lang w:val="es-AR" w:eastAsia="es-AR" w:bidi="es-AR"/>
        </w:rPr>
        <w:t xml:space="preserve">, fue utilizada por el a quo de modo meramente coadyuvante, esto es, como un elemento más que converge con la pericia en la misma dirección. La imprecisión propia de ese tipo de apreciaciones no les resta valor cuando se las integra en un cuadro probatorio más amplio y técnicamente fundado: se trata de una percepción directa e inmediata de la forma de circulación del motovehículo, que las reglas de la sana crítica permiten ponderar como indicador de una velocidad no acorde a las condiciones de tiempo y lugar (art. 386 del CPCCBA).</w:t>
      </w:r>
    </w:p>
    <w:p>
      <w:pPr>
        <w:pStyle w:val="[Normal]"/>
        <w:spacing w:line="360" w:lineRule="auto"/>
        <w:ind w:firstLine="1134"/>
        <w:jc w:val="both"/>
        <w:rPr>
          <w:lang w:val="es-AR" w:eastAsia="es-AR" w:bidi="es-AR"/>
        </w:rPr>
      </w:pPr>
      <w:r>
        <w:rPr>
          <w:lang w:val="es-AR" w:eastAsia="es-AR" w:bidi="es-AR"/>
        </w:rPr>
        <w:t xml:space="preserve">A ello se agrega -como correctamente enfatiza la sentencia- la propia declaración del actor en sede penal, donde reconoce que, al advertir el vehículo que le cortaba el paso, presiona el freno e intenta una maniobra de esquive hacia la derecha, sin lograr ni detener la motocicleta ni evitar el impacto, saliendo despedido por encima del automóvil. El juez de grado otorgó a ese testimonio el carácter de manifestación confesoria en cuanto le resulta perjudicial, y lo relacionó con el deber legal de circular con cuidado y prevención, que impone mantener en todo momento el dominio efectivo del vehículo. Desde las máximas de experiencia, la incapacidad para controlar el rodado en un cruce urbano con señalización restrictiva y visibilidad suficiente se vincula razonablemente con una velocidad inadecuada o con una falta de atención compatibles con el cuadro pericial y testimonial reseñado.</w:t>
      </w:r>
    </w:p>
    <w:p>
      <w:pPr>
        <w:pStyle w:val="[Normal]"/>
        <w:spacing w:line="360" w:lineRule="auto"/>
        <w:ind w:firstLine="1134"/>
        <w:jc w:val="both"/>
        <w:rPr>
          <w:lang w:val="es-AR" w:eastAsia="es-AR" w:bidi="es-AR"/>
        </w:rPr>
      </w:pPr>
      <w:r>
        <w:rPr>
          <w:lang w:val="es-AR" w:eastAsia="es-AR" w:bidi="es-AR"/>
        </w:rPr>
        <w:t xml:space="preserve">En definitiva, lejos de evidenciar una </w:t>
      </w:r>
      <w:r>
        <w:rPr>
          <w:i/>
          <w:lang w:val="es-AR" w:eastAsia="es-AR" w:bidi="es-AR"/>
        </w:rPr>
        <w:t xml:space="preserve">“interpretación absurda”</w:t>
      </w:r>
      <w:r>
        <w:rPr>
          <w:lang w:val="es-AR" w:eastAsia="es-AR" w:bidi="es-AR"/>
        </w:rPr>
        <w:t xml:space="preserve">, el razonamiento del a quo muestra una valoración integral, concatenada y razonable de los distintos medios de prueba: pericia accidentológica penal, pericia mecánica civil (con adhesión y aclaraciones del experto), testimonio presencial y dichos del propio demandado. En tanto que la crítica recursiva se limita a aislar una expresión de la pericia penal, prescindiendo del contexto en que fue emitida y de la ulterior intervención del perito mecánico, y a descalificar genéricamente el testimonio de Sotelo, sin demostrar un error palmario en la apreciación probatoria.</w:t>
      </w:r>
    </w:p>
    <w:p>
      <w:pPr>
        <w:pStyle w:val="[Normal]"/>
        <w:spacing w:line="360" w:lineRule="auto"/>
        <w:ind w:firstLine="1134"/>
        <w:jc w:val="both"/>
        <w:rPr>
          <w:lang w:val="es-AR" w:eastAsia="es-AR" w:bidi="es-AR"/>
        </w:rPr>
      </w:pPr>
      <w:r>
        <w:rPr>
          <w:lang w:val="es-AR" w:eastAsia="es-AR" w:bidi="es-AR"/>
        </w:rPr>
        <w:t xml:space="preserve">Por tales motivos, corresponde rechazar el segundo agravio, manteniendo incólume la conclusión del sentenciante en cuanto tuvo por acreditado que la motocicleta conducida por el demandado circulaba a una velocidad superior a la permitida y que tal circunstancia integra el cuadro de factores determinantes del siniestro.</w:t>
      </w:r>
    </w:p>
    <w:p>
      <w:pPr>
        <w:pStyle w:val="[Normal]"/>
        <w:spacing w:line="360" w:lineRule="auto"/>
        <w:ind w:firstLine="1134"/>
        <w:jc w:val="both"/>
        <w:rPr>
          <w:lang w:val="es-AR" w:eastAsia="es-AR" w:bidi="es-AR"/>
        </w:rPr>
      </w:pPr>
      <w:r>
        <w:rPr>
          <w:lang w:val="es-AR" w:eastAsia="es-AR" w:bidi="es-AR"/>
        </w:rPr>
        <w:t xml:space="preserve">III.- En lo que hace al tercer agravio referido al supuesto desconocimiento por el a quo de la culpa de la demandada como factor determinante del accidente, entiendo que tampoco puede hallar acogida.</w:t>
      </w:r>
    </w:p>
    <w:p>
      <w:pPr>
        <w:pStyle w:val="[Normal]"/>
        <w:spacing w:line="360" w:lineRule="auto"/>
        <w:ind w:firstLine="1134"/>
        <w:jc w:val="both"/>
        <w:rPr>
          <w:lang w:val="es-AR" w:eastAsia="es-AR" w:bidi="es-AR"/>
        </w:rPr>
      </w:pPr>
      <w:r>
        <w:rPr>
          <w:lang w:val="es-AR" w:eastAsia="es-AR" w:bidi="es-AR"/>
        </w:rPr>
        <w:t xml:space="preserve">Sobre esa base argumental, corresponde examinar entonces si el material probatorio reunido permite afirmar -con el grado de convicción requerido- que el siniestro se debió al obrar de la Sra. Ramírez. El a quo tuvo por ciertos, y las partes no los han conmovido eficazmente, los siguientes extremos: el hecho ocurrió en la intersección de Bv. J. D. Perón y Av. Ricardo Balbín (Ruta Nac. 8); el automóvil VW dominio KFR 898 circulaba por Bv. Perón de norte a sur, mientras que la motocicleta Yamaha dominio 754GRG lo hacía por Ruta 8 en sentido este-oeste. </w:t>
      </w:r>
    </w:p>
    <w:p>
      <w:pPr>
        <w:pStyle w:val="[Normal]"/>
        <w:spacing w:line="360" w:lineRule="auto"/>
        <w:ind w:firstLine="1134"/>
        <w:jc w:val="both"/>
        <w:rPr>
          <w:lang w:val="es-AR" w:eastAsia="es-AR" w:bidi="es-AR"/>
        </w:rPr>
      </w:pPr>
      <w:r>
        <w:rPr>
          <w:lang w:val="es-AR" w:eastAsia="es-AR" w:bidi="es-AR"/>
        </w:rPr>
        <w:t xml:space="preserve">La accionante aduce que la conductora omitió detener su marcha al llegar al cruce para verificar que no se aproximaran vehículos. Sin embargo, no hay constancias probatoria alguna que abone la comprobación de dicha falta.</w:t>
      </w:r>
    </w:p>
    <w:p>
      <w:pPr>
        <w:pStyle w:val="[Normal]"/>
        <w:spacing w:line="360" w:lineRule="auto"/>
        <w:ind w:firstLine="1134"/>
        <w:jc w:val="both"/>
        <w:rPr>
          <w:lang w:val="es-AR" w:eastAsia="es-AR" w:bidi="es-AR"/>
        </w:rPr>
      </w:pPr>
      <w:r>
        <w:rPr>
          <w:lang w:val="es-AR" w:eastAsia="es-AR" w:bidi="es-AR"/>
        </w:rPr>
        <w:t xml:space="preserve">Es cierto que la parte actora ha hecho eje en que la demandada se incorporó a la Ruta 8 desde una arteria donde existe señal de “Pare” y que, por aplicación de los arts. 36 y 41 de la Ley 24.449, su prioridad de paso se encontraba restringida o perdida. Sin embargo, como adecuadamente razona el a quo, el incumplimiento formal de la prioridad o la existencia de un cartel de detención no bastan, por sí solos, para configurar la contribución causal jurídicamente relevante que se le endilga a la accionada. </w:t>
      </w:r>
    </w:p>
    <w:p>
      <w:pPr>
        <w:pStyle w:val="[Normal]"/>
        <w:spacing w:line="360" w:lineRule="auto"/>
        <w:ind w:firstLine="1134"/>
        <w:jc w:val="both"/>
        <w:rPr>
          <w:lang w:val="es-AR" w:eastAsia="es-AR" w:bidi="es-AR"/>
        </w:rPr>
      </w:pPr>
      <w:r>
        <w:rPr>
          <w:lang w:val="es-AR" w:eastAsia="es-AR" w:bidi="es-AR"/>
        </w:rPr>
        <w:t xml:space="preserve">Por lo expuesto, considero que no se ha demostrado que el obrar de la Sra. Ramírez haya desplazado totalmente el riesgo creado por la motocicleta. </w:t>
      </w:r>
    </w:p>
    <w:p>
      <w:pPr>
        <w:pStyle w:val="[Normal]"/>
        <w:spacing w:line="360" w:lineRule="auto"/>
        <w:ind w:firstLine="1134"/>
        <w:jc w:val="both"/>
        <w:rPr>
          <w:lang w:val="es-AR" w:eastAsia="es-AR" w:bidi="es-AR"/>
        </w:rPr>
      </w:pPr>
      <w:r>
        <w:rPr>
          <w:lang w:val="es-AR" w:eastAsia="es-AR" w:bidi="es-AR"/>
        </w:rPr>
        <w:t xml:space="preserve">A lo sumo, la versión de la actora podría habilitar una hipótesis de concausa o concurrencia de factores, pero la apelante no ha fundado ni cuantificado -ni siquiera subsidiariamente- un agravio en tal sentido, limitándose a postular una atribución total de responsabilidad.</w:t>
      </w:r>
    </w:p>
    <w:p>
      <w:pPr>
        <w:pStyle w:val="[Normal]"/>
        <w:spacing w:line="360" w:lineRule="auto"/>
        <w:ind w:firstLine="1134"/>
        <w:jc w:val="both"/>
        <w:rPr>
          <w:lang w:val="es-AR" w:eastAsia="es-AR" w:bidi="es-AR"/>
        </w:rPr>
      </w:pPr>
      <w:r>
        <w:rPr>
          <w:lang w:val="es-AR" w:eastAsia="es-AR" w:bidi="es-AR"/>
        </w:rPr>
        <w:t xml:space="preserve">Por consiguiente, corresponde rechazar el tercer agravio, manteniendo la decisión apelada.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w:t>
      </w:r>
      <w:r>
        <w:rPr>
          <w:b/>
          <w:lang w:val="es-AR" w:eastAsia="es-AR" w:bidi="es-AR"/>
        </w:rPr>
        <w:t xml:space="preserve"> </w:t>
      </w:r>
      <w:r>
        <w:rPr>
          <w:lang w:val="es-AR" w:eastAsia="es-AR" w:bidi="es-AR"/>
        </w:rPr>
        <w:t xml:space="preserve">actora vencida</w:t>
      </w:r>
      <w:r>
        <w:rPr>
          <w:b/>
          <w:lang w:val="es-AR" w:eastAsia="es-AR" w:bidi="es-AR"/>
        </w:rPr>
        <w:t xml:space="preserve"> </w:t>
      </w:r>
      <w:r>
        <w:rPr>
          <w:lang w:val="es-AR" w:eastAsia="es-AR" w:bidi="es-AR"/>
        </w:rPr>
        <w:t xml:space="preserve">(art.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w:t>
      </w:r>
      <w:r>
        <w:rPr>
          <w:b/>
          <w:lang w:val="es-AR" w:eastAsia="es-AR" w:bidi="es-AR"/>
        </w:rPr>
        <w:t xml:space="preserve"> </w:t>
      </w:r>
      <w:r>
        <w:rPr>
          <w:lang w:val="es-AR" w:eastAsia="es-AR" w:bidi="es-AR"/>
        </w:rPr>
        <w:t xml:space="preserve">actora vencida</w:t>
      </w:r>
      <w:r>
        <w:rPr>
          <w:b/>
          <w:lang w:val="es-AR" w:eastAsia="es-AR" w:bidi="es-AR"/>
        </w:rPr>
        <w:t xml:space="preserve"> </w:t>
      </w:r>
      <w:r>
        <w:rPr>
          <w:lang w:val="es-AR" w:eastAsia="es-AR" w:bidi="es-AR"/>
        </w:rPr>
        <w:t xml:space="preserve">(art.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lang w:val="es-AR" w:eastAsia="es-AR" w:bidi="es-AR"/>
        </w:rPr>
        <w:t xml:space="preserve">Glósese copia de la presente a su acumulada </w:t>
      </w:r>
      <w:r>
        <w:rPr>
          <w:color w:val="000000"/>
          <w:lang w:val="es-AR" w:eastAsia="es-AR" w:bidi="es-AR"/>
        </w:rPr>
        <w:t xml:space="preserve">N° 5793-25 </w:t>
      </w:r>
      <w:r>
        <w:rPr>
          <w:lang w:val="es-AR" w:eastAsia="es-AR" w:bidi="es-AR"/>
        </w:rPr>
        <w:t xml:space="preserve">"MASTROGIACOMO</w:t>
      </w:r>
      <w:r>
        <w:rPr>
          <w:color w:val="000000"/>
          <w:lang w:val="es-AR" w:eastAsia="es-AR" w:bidi="es-AR"/>
        </w:rPr>
        <w:t xml:space="preserve"> FEDERICO C/ SEGUROMETAL COOPERATIVA DE SEGUROS LTDA. S/ DAÑOS Y PERJ. AUTOM. S/LESIONES (EXC. ESTADO)</w:t>
      </w:r>
      <w:r>
        <w:rPr>
          <w:lang w:val="es-AR" w:eastAsia="es-AR" w:bidi="es-AR"/>
        </w:rPr>
        <w:t xml:space="preserve">" Expte. N° 67.506 del Juzgado en lo Civil y Comercial n°3.-</w:t>
      </w:r>
    </w:p>
    <w:p>
      <w:pPr>
        <w:pStyle w:val="[Normal]"/>
        <w:spacing w:line="360" w:lineRule="auto"/>
        <w:ind w:firstLine="1134"/>
        <w:jc w:val="both"/>
        <w:rPr>
          <w:color w:val="000000"/>
          <w:lang w:val="es-AR" w:eastAsia="es-AR" w:bidi="es-AR"/>
        </w:rPr>
      </w:pPr>
      <w:r>
        <w:rPr>
          <w:color w:val="000000"/>
          <w:u w:val="single"/>
          <w:lang w:val="es-AR" w:eastAsia="es-AR" w:bidi="es-AR"/>
        </w:rPr>
        <w:t xml:space="preserve">Expte. 67.506</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El Juez de grado hizo lugar a la demanda instaurada por Facundo Daniel Turenne, condenó en consecuencia a Federico Mastrogiacomo y a Seguros Bernardino Rivadavia Coop. Limitada, a abonar al primero de los nombrados, dentro de los diez días de notificada la presente, la suma de cuatro millones seiscientos setenta y dos mil trescientos ochenta y seis pesos ($ 4.672.386,00.-), con más sus intereses, los que habrán calcularse en la forma dispuesta en el considerando VI. Aplicó las costas a la parte demandada y a la citada en garantía, que resultan vencidas (Art. 68 C.P.C.).  Difirió la regulación de honorarios de  los  letrados intervinientes  y  de  los  peritos,  hasta  que  medie  firme  la respectiva liquidación de intereses y gastos (Art. 51 ley 14.967). Y rechazó la demanda entablada por Juana Mariela Ramirez contra Federico Mastrogiacomo y Seguros Bernardino Rivadavia Coop Limitada, con costas a la actora vencida (Art. 68 del C.P.C.). Difirió la regulación de honorarios de  los  letrados intervinientes  y  de  los  peritos,  hasta  que  medie  firme  la respectiva liquidación de intereses y gastos (Art. 23 penúltimo apartado y 51 ley 14.967).</w:t>
      </w:r>
    </w:p>
    <w:p>
      <w:pPr>
        <w:pStyle w:val="[Normal]"/>
        <w:spacing w:line="360" w:lineRule="auto"/>
        <w:ind w:firstLine="1134"/>
        <w:jc w:val="both"/>
        <w:rPr>
          <w:color w:val="000000"/>
          <w:lang w:val="es-AR" w:eastAsia="es-AR" w:bidi="es-AR"/>
        </w:rPr>
      </w:pPr>
      <w:r>
        <w:rPr>
          <w:lang w:val="es-AR" w:eastAsia="es-AR" w:bidi="es-AR"/>
        </w:rPr>
        <w:t xml:space="preserve">El decisorio fue objeto del recurso de apelación interpuesto por la parte actora (16-7-2025), concedido el día 18-7-2025 libremente </w:t>
      </w:r>
      <w:r>
        <w:rPr>
          <w:color w:val="000000"/>
          <w:lang w:val="es-AR" w:eastAsia="es-AR" w:bidi="es-AR"/>
        </w:rPr>
        <w:t xml:space="preserve">y en ambos efectos</w:t>
      </w:r>
      <w:r>
        <w:rPr>
          <w:lang w:val="es-AR" w:eastAsia="es-AR" w:bidi="es-AR"/>
        </w:rPr>
        <w:t xml:space="preserve">.  Elevados los autos a esta Alzada con fecha con fecha 28-8-2025 se ordenó expresar agravios a la Actora, quien el 3-9-2025 los fundó y del mismo el 11-9-2025 traslado a la parte demandada y citada en garantía, esta última el día 17-9-2025 lo evacuó.  23-9-2025 No habiendo la parte demandada evacuado el traslado conferido se le dió por perdido el derecho deja de usar y se llamo autos para dictar sentencia, providencia, que firme a la fecha deja la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En sustento de su crítica recursiva, la parte demandada expuso los siguientes puntos de agravios: </w:t>
      </w:r>
    </w:p>
    <w:p>
      <w:pPr>
        <w:pStyle w:val="[Normal]"/>
        <w:spacing w:line="360" w:lineRule="auto"/>
        <w:ind w:firstLine="1134"/>
        <w:jc w:val="both"/>
        <w:rPr>
          <w:color w:val="000000"/>
          <w:lang w:val="es-AR" w:eastAsia="es-AR" w:bidi="es-AR"/>
        </w:rPr>
      </w:pPr>
      <w:r>
        <w:rPr>
          <w:color w:val="000000"/>
          <w:lang w:val="es-AR" w:eastAsia="es-AR" w:bidi="es-AR"/>
        </w:rPr>
        <w:t xml:space="preserve">1) Errónea atribución de responsabilidad. En este aspecto, sostiene que el a quo le imputa indebidamente responsabilidad exclusiva por el siniestro, omitiendo aplicar correctamente las reglas de prioridad de paso y los efectos del cartel de “PARE” existente en la arteria por la que circulaba la contraria, lo que —a su entender— tornaba exclusiva la culpa de ésta.</w:t>
      </w:r>
    </w:p>
    <w:p>
      <w:pPr>
        <w:pStyle w:val="[Normal]"/>
        <w:spacing w:line="360" w:lineRule="auto"/>
        <w:ind w:firstLine="1134"/>
        <w:jc w:val="both"/>
        <w:rPr>
          <w:color w:val="000000"/>
          <w:lang w:val="es-AR" w:eastAsia="es-AR" w:bidi="es-AR"/>
        </w:rPr>
      </w:pPr>
      <w:r>
        <w:rPr>
          <w:color w:val="000000"/>
          <w:lang w:val="es-AR" w:eastAsia="es-AR" w:bidi="es-AR"/>
        </w:rPr>
        <w:t xml:space="preserve">2) Defectuosa valoración de la prueba técnica y testimonial. Al respecto, cuestiona que se haya tenido por acreditado un exceso de velocidad de su parte cuando la pericia no habría podido determinarla con precisión y el único testigo presencial, ubicado a considerable distancia, sólo brindó una impresión subjetiva sobre la marcha del vehículo.</w:t>
      </w:r>
    </w:p>
    <w:p>
      <w:pPr>
        <w:pStyle w:val="[Normal]"/>
        <w:spacing w:line="360" w:lineRule="auto"/>
        <w:ind w:firstLine="1134"/>
        <w:jc w:val="both"/>
        <w:rPr>
          <w:color w:val="000000"/>
          <w:lang w:val="es-AR" w:eastAsia="es-AR" w:bidi="es-AR"/>
        </w:rPr>
      </w:pPr>
      <w:r>
        <w:rPr>
          <w:color w:val="000000"/>
          <w:lang w:val="es-AR" w:eastAsia="es-AR" w:bidi="es-AR"/>
        </w:rPr>
        <w:t xml:space="preserve">3) Interpretación absurda y contradictoria de la prueba.	</w:t>
        <w:br w:type="textWrapping"/>
      </w:r>
      <w:r>
        <w:rPr>
          <w:color w:val="000000"/>
          <w:lang w:val="es-AR" w:eastAsia="es-AR" w:bidi="es-AR"/>
        </w:rPr>
        <w:t xml:space="preserve">Afirma que la sentencia realiza una lectura ilógica e incoherente del conjunto probatorio y de las constancias de la IPP, desconociendo la verdadera mecánica del hecho, por lo que solicita la revocación íntegra del fallo y el acogimiento de su pretensión.	</w:t>
        <w:br w:type="textWrapping"/>
      </w:r>
      <w:r>
        <w:rPr>
          <w:color w:val="000000"/>
          <w:lang w:val="es-AR" w:eastAsia="es-AR" w:bidi="es-AR"/>
        </w:rPr>
        <w:t xml:space="preserve"> 	A su turno, la citada en garantía contesta el traslado solicitando, ante todo, que se declare desierto el recurso por carecer el memorial de crítica concreta y razonada, limitándose a disentir con el fallo (art. 261 CPCC). Destaca que Mastrogiacomo conducía sin dominio efectivo, sin cuidado ni prevención, y a velocidad superior a la permitida, según surge de la pericia mecánica y de los daños verificados en los rodados. Precisa que el exceso de velocidad se atribuye al actor y no a Ramírez, y que su carácter de embestidor genera una presunción de culpabilidad, reforzada por la declaración del testigo Sotelo. En definitiva, pide el rechazo íntegro del recurso y la confirmación de la sentencia de primera instancia, con costas al apelante.</w:t>
      </w:r>
    </w:p>
    <w:p>
      <w:pPr>
        <w:pStyle w:val="[Normal]"/>
        <w:spacing w:line="360" w:lineRule="auto"/>
        <w:ind w:firstLine="1134"/>
        <w:jc w:val="both"/>
        <w:rPr>
          <w:lang w:val="es-AR" w:eastAsia="es-AR" w:bidi="es-AR"/>
        </w:rPr>
      </w:pPr>
      <w:r>
        <w:rPr>
          <w:lang w:val="es-AR" w:eastAsia="es-AR" w:bidi="es-AR"/>
        </w:rPr>
        <w:t xml:space="preserve">Entrando a resolver, advierto que la cuestión sometida a revisión versa en torno a la juridicidad de la atribución de responsabilidad a la parte demandada que fuera decretada por el Juez de Primera Instancia. </w:t>
      </w:r>
    </w:p>
    <w:p>
      <w:pPr>
        <w:pStyle w:val="[Normal]"/>
        <w:spacing w:line="360" w:lineRule="auto"/>
        <w:ind w:firstLine="1134"/>
        <w:jc w:val="both"/>
        <w:rPr>
          <w:lang w:val="es-AR" w:eastAsia="es-AR" w:bidi="es-AR"/>
        </w:rPr>
      </w:pPr>
      <w:r>
        <w:rPr>
          <w:lang w:val="es-AR" w:eastAsia="es-AR" w:bidi="es-AR"/>
        </w:rPr>
        <w:t xml:space="preserve">Sobre dicha base de análisis, procederé al tratamiento de los aspectos críticos anteriormente enumerados, adoptando una metodología que correlacione la dimensión fáctica, probatoria y jurídica aplicable al caso aquí examinado.</w:t>
      </w:r>
    </w:p>
    <w:p>
      <w:pPr>
        <w:pStyle w:val="[Normal]"/>
        <w:spacing w:line="360" w:lineRule="auto"/>
        <w:ind w:firstLine="1134"/>
        <w:jc w:val="both"/>
        <w:rPr>
          <w:color w:val="000000"/>
          <w:lang w:val="es-AR" w:eastAsia="es-AR" w:bidi="es-AR"/>
        </w:rPr>
      </w:pPr>
      <w:r>
        <w:rPr>
          <w:color w:val="000000"/>
          <w:lang w:val="es-AR" w:eastAsia="es-AR" w:bidi="es-AR"/>
        </w:rPr>
        <w:t xml:space="preserve">En lo que atañe al primer agravio, referido a la supuesta errónea atribución de responsabilidad exclusiva al actor Mastrogiacomo, adelanto que la crítica no puede prosperar.</w:t>
      </w:r>
    </w:p>
    <w:p>
      <w:pPr>
        <w:pStyle w:val="[Normal]"/>
        <w:spacing w:line="360" w:lineRule="auto"/>
        <w:ind w:firstLine="1134"/>
        <w:jc w:val="both"/>
        <w:rPr>
          <w:color w:val="000000"/>
          <w:lang w:val="es-AR" w:eastAsia="es-AR" w:bidi="es-AR"/>
        </w:rPr>
      </w:pPr>
      <w:r>
        <w:rPr>
          <w:color w:val="000000"/>
          <w:lang w:val="es-AR" w:eastAsia="es-AR" w:bidi="es-AR"/>
        </w:rPr>
        <w:t xml:space="preserve">Cabe recordar, ante todo, que la plataforma fáctica y probatoria es común a ambos procesos acumulados y ya ha sido exhaustivamente examinada al tratar el recurso deducido en autos “Ramírez Juana Mariela y otro/a c/ Mastrogiacomo Federico y otro/a s/ daños y perjuicios” (Expte. 66.514), al que me remito para evitar reiteraciones innecesarias. Allí se tuvo por cierto que el hecho ocurrió en la intersección de Bv. J.D. Perón y Av. Ricardo Balbín (Ruta 8), interviniendo la motocicleta Yamaha conducida por el hoy actor y el automóvil VW Gol guiado por la Sra. Ramírez, y se estableció, con apoyo en la pericia accidentológica penal y en el informe del perito ingeniero mecánico, que la motocicleta revistió el carácter de embestidor físico-mecánico, impactando con su frente el lateral posterior izquierdo del automotor.</w:t>
      </w:r>
    </w:p>
    <w:p>
      <w:pPr>
        <w:pStyle w:val="[Normal]"/>
        <w:spacing w:line="360" w:lineRule="auto"/>
        <w:ind w:firstLine="1134"/>
        <w:jc w:val="both"/>
        <w:rPr>
          <w:color w:val="000000"/>
          <w:lang w:val="es-AR" w:eastAsia="es-AR" w:bidi="es-AR"/>
        </w:rPr>
      </w:pPr>
      <w:r>
        <w:rPr>
          <w:color w:val="000000"/>
          <w:lang w:val="es-AR" w:eastAsia="es-AR" w:bidi="es-AR"/>
        </w:rPr>
        <w:t xml:space="preserve">Sobre esa base común, el agravio del actor reprocha al a quo no haber hecho jugar en su favor las reglas de prioridad de paso y la existencia del cartel de “PARE” en Bv. Perón, sosteniendo que la maniobra de la Sra. Ramírez (detención, giro a la izquierda e incorporación a la Ruta 8) sería causal exclusiva del evento. Sin embargo, tal como ya se razonó al examinar el recurso en la causa 66.514, el propio fallo de primera instancia distinguió con acierto entre prioridad normativa y causalidad fáctica: aun admitiendo que, por aplicación de los arts. 36 y 41 de la Ley 24.449, la conductora del automóvil no contaba en la ocasión con prioridad de paso, ello no exime al motociclista de su deber de circular con cuidado, a velocidad adecuada y conservando el dominio del rodado (arts. 39 y 64, Ley 24.449).</w:t>
      </w:r>
    </w:p>
    <w:p>
      <w:pPr>
        <w:pStyle w:val="[Normal]"/>
        <w:spacing w:line="360" w:lineRule="auto"/>
        <w:ind w:firstLine="1134"/>
        <w:jc w:val="both"/>
        <w:rPr>
          <w:color w:val="000000"/>
          <w:lang w:val="es-AR" w:eastAsia="es-AR" w:bidi="es-AR"/>
        </w:rPr>
      </w:pPr>
      <w:r>
        <w:rPr>
          <w:color w:val="000000"/>
          <w:lang w:val="es-AR" w:eastAsia="es-AR" w:bidi="es-AR"/>
        </w:rPr>
        <w:t xml:space="preserve">En este punto basta remitir a lo ya expuesto: la prueba pericial y testimonial ha sido concordemente valorada para tener por demostrado que fue la motocicleta la que embistió al automóvil cuando éste ya se hallaba avanzado en el cruce; que el motovehículo circulaba a una velocidad superior al límite de 20 km/h señalizado en el lugar, según las conclusiones del perito Ferretti y su adhesión sin reservas a la pericia de Policía Científica; y que el propio Mastrogiacomo, en sede penal, describió una maniobra de frenado y esquive fallida, con posterior proyección </w:t>
      </w:r>
      <w:r>
        <w:rPr>
          <w:i/>
          <w:color w:val="000000"/>
          <w:lang w:val="es-AR" w:eastAsia="es-AR" w:bidi="es-AR"/>
        </w:rPr>
        <w:t xml:space="preserve">“por encima del auto”</w:t>
      </w:r>
      <w:r>
        <w:rPr>
          <w:color w:val="000000"/>
          <w:lang w:val="es-AR" w:eastAsia="es-AR" w:bidi="es-AR"/>
        </w:rPr>
        <w:t xml:space="preserve">, datos que el sentenciante de grado apreció como indicios serios de falta de dominio y de observancia del deber de prevención.</w:t>
      </w:r>
    </w:p>
    <w:p>
      <w:pPr>
        <w:pStyle w:val="[Normal]"/>
        <w:spacing w:line="360" w:lineRule="auto"/>
        <w:ind w:firstLine="1134"/>
        <w:jc w:val="both"/>
        <w:rPr>
          <w:color w:val="000000"/>
          <w:lang w:val="es-AR" w:eastAsia="es-AR" w:bidi="es-AR"/>
        </w:rPr>
      </w:pPr>
      <w:r>
        <w:rPr>
          <w:color w:val="000000"/>
          <w:lang w:val="es-AR" w:eastAsia="es-AR" w:bidi="es-AR"/>
        </w:rPr>
        <w:t xml:space="preserve">En el marco del régimen objetivo por riesgo creado (art. 1757 CCyCN), era carga del actor demostrar que el daño derivó exclusiva o preponderantemente de una causa ajena a su propia esfera de riesgo (culpa de la víctima o de un tercero). Lejos de ello, el memorial se limita a enfatizar la señalización de “PARE” y a reeditar la tesis de la culpa excluyente de la conductora del Volkswagen, sin aportar elementos capaces de desvirtuar las conclusiones técnicas y fácticas reseñadas ni de explicar por qué la condición de embestidor, el exceso de velocidad de la moto y el ingreso posterior de la motocicleta a la encrucijada no habrían tenido incidencia causal relevante.</w:t>
      </w:r>
    </w:p>
    <w:p>
      <w:pPr>
        <w:pStyle w:val="[Normal]"/>
        <w:spacing w:line="360" w:lineRule="auto"/>
        <w:ind w:firstLine="1134"/>
        <w:jc w:val="both"/>
        <w:rPr>
          <w:color w:val="000000"/>
          <w:lang w:val="es-AR" w:eastAsia="es-AR" w:bidi="es-AR"/>
        </w:rPr>
      </w:pPr>
      <w:r>
        <w:rPr>
          <w:lang w:val="es-AR" w:eastAsia="es-AR" w:bidi="es-AR"/>
        </w:rPr>
        <w:t xml:space="preserve">A lo sumo, la versión de la demandada podría habilitar eventualmente el debate en torno a una hipótesis de concausa o concurrencia de factores, pero la apelante no ha fundado ni cuantificado -ni siquiera subsidiariamente- un agravio en tal sentido, limitándose a postular una atribución total de culpa exclusiva de la víctima.</w:t>
      </w:r>
    </w:p>
    <w:p>
      <w:pPr>
        <w:pStyle w:val="[Normal]"/>
        <w:spacing w:line="360" w:lineRule="auto"/>
        <w:ind w:firstLine="1134"/>
        <w:jc w:val="both"/>
        <w:rPr>
          <w:color w:val="000000"/>
          <w:lang w:val="es-AR" w:eastAsia="es-AR" w:bidi="es-AR"/>
        </w:rPr>
      </w:pPr>
      <w:r>
        <w:rPr>
          <w:color w:val="000000"/>
          <w:lang w:val="es-AR" w:eastAsia="es-AR" w:bidi="es-AR"/>
        </w:rPr>
        <w:t xml:space="preserve">En suma, al igual que en la causa acumulada, la valoración conjunta de la prueba lleva a afirmar que el comportamiento del motociclista resulta determinante en la producción del daño, de modo que el rechazo de su demanda decidido en la instancia anterior se muestra ajustado a derecho. El primer agravio, por consiguiente, debe ser desestimado, con remisión a los fundamentos ya desarrollados al tratar la responsabilidad en el Expte. 66.514, que aquí se dan por reproducidos en lo pertinente.</w:t>
      </w:r>
    </w:p>
    <w:p>
      <w:pPr>
        <w:pStyle w:val="[Normal]"/>
        <w:spacing w:line="360" w:lineRule="auto"/>
        <w:ind w:firstLine="1134"/>
        <w:jc w:val="both"/>
        <w:rPr>
          <w:color w:val="000000"/>
          <w:lang w:val="es-AR" w:eastAsia="es-AR" w:bidi="es-AR"/>
        </w:rPr>
      </w:pPr>
      <w:r>
        <w:rPr>
          <w:color w:val="000000"/>
          <w:lang w:val="es-AR" w:eastAsia="es-AR" w:bidi="es-AR"/>
        </w:rPr>
        <w:t xml:space="preserve">En cuanto al segundo agravio referido al pretendido error del a quo al tener por acreditado que el actor circulaba por encima de la velocidad permitida, tampoco advierto que la crítica resulte de recibo.</w:t>
      </w:r>
    </w:p>
    <w:p>
      <w:pPr>
        <w:pStyle w:val="[Normal]"/>
        <w:spacing w:line="360" w:lineRule="auto"/>
        <w:ind w:firstLine="1134"/>
        <w:jc w:val="both"/>
        <w:rPr>
          <w:color w:val="000000"/>
          <w:lang w:val="es-AR" w:eastAsia="es-AR" w:bidi="es-AR"/>
        </w:rPr>
      </w:pPr>
      <w:r>
        <w:rPr>
          <w:color w:val="000000"/>
          <w:lang w:val="es-AR" w:eastAsia="es-AR" w:bidi="es-AR"/>
        </w:rPr>
        <w:t xml:space="preserve">El apelante sostiene que el juez habría incurrido en un yerro interpretativo al afirmar que el motociclista superaba la velocidad legal, pues -según dice- correspondería aplicar el límite general de 60 km/h para avenidas, y la prueba pericial no habría determinado numéricamente la velocidad del rodado. Sin embargo, como ya se analizó al tratar el segundo agravio en la causa acumulada n° 66.514, la existencia de señalización específica en el lugar (cartelería que fija un máximo de 20 km/h en la zona de cruce) y la propia reconstrucción pericial de la mecánica del siniestro constituyen base suficiente para concluir que la motocicleta se desplazaba a una velocidad inadecuada para las condiciones del sector, con independencia de que no se haya fijado un guarismo exacto en km/h.</w:t>
      </w:r>
    </w:p>
    <w:p>
      <w:pPr>
        <w:pStyle w:val="[Normal]"/>
        <w:spacing w:line="360" w:lineRule="auto"/>
        <w:ind w:firstLine="1134"/>
        <w:jc w:val="both"/>
        <w:rPr>
          <w:color w:val="000000"/>
          <w:lang w:val="es-AR" w:eastAsia="es-AR" w:bidi="es-AR"/>
        </w:rPr>
      </w:pPr>
      <w:r>
        <w:rPr>
          <w:color w:val="000000"/>
          <w:lang w:val="es-AR" w:eastAsia="es-AR" w:bidi="es-AR"/>
        </w:rPr>
        <w:t xml:space="preserve">En efecto, la pericia accidentológica penal y el informe del ingeniero mecánico designado en sede civil -a cuya conclusión este último adhiere expresamente- describen un impacto del frente de la moto sobre el lateral trasero izquierdo del automóvil, con daños y proyección compatibles con una marcha claramente superior al límite de 20 km/h señalado para el lugar, y el perito Ferretti así lo puntualiza en sus aclaraciones; tales dictámenes no fueron impugnados eficazmente en la instancia. A ello se suma el testimonio presencial que refiere que la moto</w:t>
      </w:r>
      <w:r>
        <w:rPr>
          <w:i/>
          <w:color w:val="000000"/>
          <w:lang w:val="es-AR" w:eastAsia="es-AR" w:bidi="es-AR"/>
        </w:rPr>
        <w:t xml:space="preserve"> “iba fuerte”</w:t>
      </w:r>
      <w:r>
        <w:rPr>
          <w:color w:val="000000"/>
          <w:lang w:val="es-AR" w:eastAsia="es-AR" w:bidi="es-AR"/>
        </w:rPr>
        <w:t xml:space="preserve"> y la propia declaración del actor en sede penal, donde reconoce que, pese a frenar e intentar una maniobra evasiva, no logra controlar el rodado ni evitar el impacto. Todo ello ya fue ponderado en forma conjunta al resolver el recurso en el expediente n° 66.514, a cuyas consideraciones cabe remitirse para evitar reiteraciones.</w:t>
      </w:r>
    </w:p>
    <w:p>
      <w:pPr>
        <w:pStyle w:val="[Normal]"/>
        <w:spacing w:line="360" w:lineRule="auto"/>
        <w:ind w:firstLine="1134"/>
        <w:jc w:val="both"/>
        <w:rPr>
          <w:color w:val="000000"/>
          <w:lang w:val="es-AR" w:eastAsia="es-AR" w:bidi="es-AR"/>
        </w:rPr>
      </w:pPr>
      <w:r>
        <w:rPr>
          <w:color w:val="000000"/>
          <w:lang w:val="es-AR" w:eastAsia="es-AR" w:bidi="es-AR"/>
        </w:rPr>
        <w:t xml:space="preserve">Desde esa plataforma probatoria común, la argumentación recursiva se limita a oponer el límite genérico de 60 km/h para avenidas, sin hacerse cargo de la señalización concreta existente en la intersección ni de las conclusiones técnicas reseñadas. No se trata, entonces, de una inferencia arbitraria del a quo, sino de una deducción razonable a partir de pericias no desvirtuadas, del testimonio presencial y de los propios dichos del actor, que revelan una circulación a velocidad inadecuada para un cruce urbano señalizado y muy transitado. Por consiguiente, el segundo agravio debe ser rechazado, con remisión en lo pertinente a los fundamentos ya vertidos al tratar la cuestión de la velocidad en la sentencia dictada en la causa acumulada.</w:t>
      </w:r>
    </w:p>
    <w:p>
      <w:pPr>
        <w:pStyle w:val="[Normal]"/>
        <w:spacing w:line="360" w:lineRule="auto"/>
        <w:ind w:firstLine="1134"/>
        <w:jc w:val="both"/>
        <w:rPr>
          <w:color w:val="000000"/>
          <w:lang w:val="es-AR" w:eastAsia="es-AR" w:bidi="es-AR"/>
        </w:rPr>
      </w:pPr>
      <w:r>
        <w:rPr>
          <w:color w:val="000000"/>
          <w:lang w:val="es-AR" w:eastAsia="es-AR" w:bidi="es-AR"/>
        </w:rPr>
        <w:t xml:space="preserve">En cuanto al tercer agravio, mediante el cual el actor sostiene que la sentencia sería “absurda”, “ilógica” o producto de un error global en la apreciación de la prueba y del derecho aplicado, entiendo que tampoco puede prosperar.</w:t>
      </w:r>
    </w:p>
    <w:p>
      <w:pPr>
        <w:pStyle w:val="[Normal]"/>
        <w:spacing w:line="360" w:lineRule="auto"/>
        <w:ind w:firstLine="1134"/>
        <w:jc w:val="both"/>
        <w:rPr>
          <w:color w:val="000000"/>
          <w:lang w:val="es-AR" w:eastAsia="es-AR" w:bidi="es-AR"/>
        </w:rPr>
      </w:pPr>
      <w:r>
        <w:rPr>
          <w:color w:val="000000"/>
          <w:lang w:val="es-AR" w:eastAsia="es-AR" w:bidi="es-AR"/>
        </w:rPr>
        <w:t xml:space="preserve">Tal como se dejó asentado al tratar los dos agravios anteriores en esta misma causa, y en la resolución dictada en los autos acumulados n° 66.514, la plataforma fáctica ha sido construida a partir de un análisis conjunto y coherente de las constancias de la IPP, de las pericias accidentológica y mecánica, de la declaración del propio Mastrogiacomo y del testimonio presencial, sin que se adviertan saltos lógicos ni contradicciones internas que desnaturalicen la conclusión alcanzada. La Cámara, al rever ahora esa valoración, arriba a idéntico resultado: la reconstrucción de la mecánica del hecho, el rol de embestidor asumido por la motocicleta y la velocidad inadecuada del actor se apoyan en elementos objetivos que ya fueron reseñados y a los que cabe remitir para evitar reiteraciones.</w:t>
      </w:r>
    </w:p>
    <w:p>
      <w:pPr>
        <w:pStyle w:val="[Normal]"/>
        <w:spacing w:line="360" w:lineRule="auto"/>
        <w:ind w:firstLine="1134"/>
        <w:jc w:val="both"/>
        <w:rPr>
          <w:color w:val="000000"/>
          <w:lang w:val="es-AR" w:eastAsia="es-AR" w:bidi="es-AR"/>
        </w:rPr>
      </w:pPr>
      <w:r>
        <w:rPr>
          <w:color w:val="000000"/>
          <w:lang w:val="es-AR" w:eastAsia="es-AR" w:bidi="es-AR"/>
        </w:rPr>
        <w:t xml:space="preserve">Lo que el recurrente presenta como </w:t>
      </w:r>
      <w:r>
        <w:rPr>
          <w:i/>
          <w:color w:val="000000"/>
          <w:lang w:val="es-AR" w:eastAsia="es-AR" w:bidi="es-AR"/>
        </w:rPr>
        <w:t xml:space="preserve">“interpretación absurda”</w:t>
      </w:r>
      <w:r>
        <w:rPr>
          <w:color w:val="000000"/>
          <w:lang w:val="es-AR" w:eastAsia="es-AR" w:bidi="es-AR"/>
        </w:rPr>
        <w:t xml:space="preserve"> se reduce, en rigor, a su mera discrepancia con la forma en que el sentenciante ponderó esos elementos, pero sin indicar de qué modo concreto se habría violado la sana crítica (art. 384 CPCC) ni señalar un tramo específico del razonamiento que resulte incompatible con las máximas de experiencia o con las pruebas obrantes. En términos del propio código ritual, tal formulación no alcanza el estándar de crítica concreta y razonada exigido para fundar la apelación (arts. 260 y 261 CPCC), pues no desmonta la premisa fáctica utilizada por el a quo ni ofrece una alternativa reconstructiva sustentada en la prueba producida.</w:t>
      </w:r>
    </w:p>
    <w:p>
      <w:pPr>
        <w:pStyle w:val="[Normal]"/>
        <w:spacing w:line="360" w:lineRule="auto"/>
        <w:ind w:firstLine="1134"/>
        <w:jc w:val="both"/>
        <w:rPr>
          <w:color w:val="000000"/>
          <w:lang w:val="es-AR" w:eastAsia="es-AR" w:bidi="es-AR"/>
        </w:rPr>
      </w:pPr>
      <w:r>
        <w:rPr>
          <w:color w:val="000000"/>
          <w:lang w:val="es-AR" w:eastAsia="es-AR" w:bidi="es-AR"/>
        </w:rPr>
        <w:t xml:space="preserve">En consecuencia, no se verifica el vicio de ilogicidad o arbitrariedad que el apelante denuncia en abstracto: la sentencia exhibe una motivación suficiente, apoya su decisión en pruebas idóneas y mantiene una línea argumental consistente con lo resuelto en la causa conexa. </w:t>
      </w:r>
    </w:p>
    <w:p>
      <w:pPr>
        <w:pStyle w:val="[Normal]"/>
        <w:spacing w:line="360" w:lineRule="auto"/>
        <w:ind w:firstLine="1134"/>
        <w:jc w:val="both"/>
        <w:rPr>
          <w:color w:val="000000"/>
          <w:lang w:val="es-AR" w:eastAsia="es-AR" w:bidi="es-AR"/>
        </w:rPr>
      </w:pPr>
      <w:r>
        <w:rPr>
          <w:color w:val="000000"/>
          <w:lang w:val="es-AR" w:eastAsia="es-AR" w:bidi="es-AR"/>
        </w:rPr>
        <w:t xml:space="preserve">Resta señalar que el planteo puntual del apelante en relación a que el cartel de velocidad máxima mencionado no estaba destinado a regir la zona de ocurrencia del accidente, tampoco desvirtúa la conclusión del a quo sobre la velocidad inadecuada de la moto.</w:t>
      </w:r>
    </w:p>
    <w:p>
      <w:pPr>
        <w:pStyle w:val="[Normal]"/>
        <w:spacing w:line="360" w:lineRule="auto"/>
        <w:ind w:firstLine="1134"/>
        <w:jc w:val="both"/>
        <w:rPr>
          <w:color w:val="000000"/>
          <w:lang w:val="es-AR" w:eastAsia="es-AR" w:bidi="es-AR"/>
        </w:rPr>
      </w:pPr>
      <w:r>
        <w:rPr>
          <w:color w:val="000000"/>
          <w:lang w:val="es-AR" w:eastAsia="es-AR" w:bidi="es-AR"/>
        </w:rPr>
        <w:t xml:space="preserve">En primer lugar, el propio perito mecánico describe que sobre la banquina norte de la Ruta 8, en dirección este-oeste, </w:t>
      </w:r>
      <w:r>
        <w:rPr>
          <w:i/>
          <w:color w:val="000000"/>
          <w:lang w:val="es-AR" w:eastAsia="es-AR" w:bidi="es-AR"/>
        </w:rPr>
        <w:t xml:space="preserve">“se observa cartelería indicando como velocidad máxima la de 40 km/h, posterior a la misma de 20 km/h”</w:t>
      </w:r>
      <w:r>
        <w:rPr>
          <w:color w:val="000000"/>
          <w:lang w:val="es-AR" w:eastAsia="es-AR" w:bidi="es-AR"/>
        </w:rPr>
        <w:t xml:space="preserve">, y aclara que tales señales </w:t>
      </w:r>
      <w:r>
        <w:rPr>
          <w:i/>
          <w:color w:val="000000"/>
          <w:lang w:val="es-AR" w:eastAsia="es-AR" w:bidi="es-AR"/>
        </w:rPr>
        <w:t xml:space="preserve">“no se hallan en la inmediatez a la intersección señalada como escenario de los hechos”</w:t>
      </w:r>
      <w:r>
        <w:rPr>
          <w:color w:val="000000"/>
          <w:lang w:val="es-AR" w:eastAsia="es-AR" w:bidi="es-AR"/>
        </w:rPr>
        <w:t xml:space="preserve"> porque quedan fuera del recorte planimétrico, no porque se encuentren en otro ámbito vial ajeno al lugar del siniestro. Es decir: la pericia ubica efectivamente carteles de máxima 40 y luego 20 km/h sobre la misma traza por la que circulaba el motociclista, antes del cruce donde ocurrió el hecho.</w:t>
      </w:r>
    </w:p>
    <w:p>
      <w:pPr>
        <w:pStyle w:val="[Normal]"/>
        <w:spacing w:line="360" w:lineRule="auto"/>
        <w:ind w:firstLine="1134"/>
        <w:jc w:val="both"/>
        <w:rPr>
          <w:color w:val="000000"/>
          <w:lang w:val="es-AR" w:eastAsia="es-AR" w:bidi="es-AR"/>
        </w:rPr>
      </w:pPr>
      <w:r>
        <w:rPr>
          <w:color w:val="000000"/>
          <w:lang w:val="es-AR" w:eastAsia="es-AR" w:bidi="es-AR"/>
        </w:rPr>
        <w:t xml:space="preserve">Frente a ello, la alegación recursiva de que esa señalización respondería a un cruce ferroviario y no regularía la velocidad en la encrucijada con Perón queda reducida a una mera afirmación unilateral, carente de respaldo técnico o probatorio específico, y expresamente señalada como tal por la parte contraria. Ningún elemento objetivo fue incorporado para demostrar que los carteles han perdido vigencia normativa, que se refieren a un tramo diverso del tránsito actual o que no resultan exigibles a quienes, como el actor, circulaban por la Ruta 8 en el sector del accidente.</w:t>
      </w:r>
    </w:p>
    <w:p>
      <w:pPr>
        <w:pStyle w:val="[Normal]"/>
        <w:spacing w:line="360" w:lineRule="auto"/>
        <w:ind w:firstLine="1134"/>
        <w:jc w:val="both"/>
        <w:rPr>
          <w:color w:val="000000"/>
          <w:lang w:val="es-AR" w:eastAsia="es-AR" w:bidi="es-AR"/>
        </w:rPr>
      </w:pPr>
      <w:r>
        <w:rPr>
          <w:color w:val="000000"/>
          <w:lang w:val="es-AR" w:eastAsia="es-AR" w:bidi="es-AR"/>
        </w:rPr>
        <w:t xml:space="preserve">Aun prescindiendo de la discusión sobre el alcance prescriptivo exacto de esos carteles, lo cierto es que el juez de grado no fundó la conclusión de velocidad inadecuada sólo en la existencia de la señalización, sino en la convergencia de ésta con: 1) el carácter de embestidor físico-mecánico de la motocicleta; 2) la magnitud y localización de los daños; y 3) los propios dichos del actor sobre la maniobra fallida de frenado y esquive, todo ello conforme fue reseñado al tratar los agravios anteriores y en la causa acumulada.</w:t>
      </w:r>
    </w:p>
    <w:p>
      <w:pPr>
        <w:pStyle w:val="[Normal]"/>
        <w:spacing w:line="360" w:lineRule="auto"/>
        <w:ind w:firstLine="1134"/>
        <w:jc w:val="both"/>
        <w:rPr>
          <w:color w:val="000000"/>
          <w:lang w:val="es-AR" w:eastAsia="es-AR" w:bidi="es-AR"/>
        </w:rPr>
      </w:pPr>
      <w:r>
        <w:rPr>
          <w:color w:val="000000"/>
          <w:lang w:val="es-AR" w:eastAsia="es-AR" w:bidi="es-AR"/>
        </w:rPr>
        <w:t xml:space="preserve">En síntesis, el dato de que los carteles no figuren </w:t>
      </w:r>
      <w:r>
        <w:rPr>
          <w:i/>
          <w:color w:val="000000"/>
          <w:lang w:val="es-AR" w:eastAsia="es-AR" w:bidi="es-AR"/>
        </w:rPr>
        <w:t xml:space="preserve">“en la inmediatez”</w:t>
      </w:r>
      <w:r>
        <w:rPr>
          <w:color w:val="000000"/>
          <w:lang w:val="es-AR" w:eastAsia="es-AR" w:bidi="es-AR"/>
        </w:rPr>
        <w:t xml:space="preserve"> de la intersección en el croquis planimétrico no basta para neutralizar su relevancia regulatoria ni, menos aún, para descalificar la inferencia pericial de que la motocicleta superaba los 20 km/h. </w:t>
      </w:r>
    </w:p>
    <w:p>
      <w:pPr>
        <w:pStyle w:val="[Normal]"/>
        <w:spacing w:line="360" w:lineRule="auto"/>
        <w:ind w:firstLine="1134"/>
        <w:jc w:val="both"/>
        <w:rPr>
          <w:color w:val="000000"/>
          <w:lang w:val="es-AR" w:eastAsia="es-AR" w:bidi="es-AR"/>
        </w:rPr>
      </w:pPr>
      <w:r>
        <w:rPr>
          <w:color w:val="000000"/>
          <w:lang w:val="es-AR" w:eastAsia="es-AR" w:bidi="es-AR"/>
        </w:rPr>
        <w:t xml:space="preserve">La crítica sobre este punto no conmueve la base técnica de la sentencia ni altera la conclusión de que el actor circulaba a una velocidad incompatible con las condiciones del lugar.</w:t>
      </w:r>
    </w:p>
    <w:p>
      <w:pPr>
        <w:pStyle w:val="[Normal]"/>
        <w:spacing w:line="360" w:lineRule="auto"/>
        <w:ind w:firstLine="1134"/>
        <w:jc w:val="both"/>
        <w:rPr>
          <w:color w:val="000000"/>
          <w:lang w:val="es-AR" w:eastAsia="es-AR" w:bidi="es-AR"/>
        </w:rPr>
      </w:pPr>
      <w:r>
        <w:rPr>
          <w:color w:val="000000"/>
          <w:lang w:val="es-AR" w:eastAsia="es-AR" w:bidi="es-AR"/>
        </w:rPr>
        <w:t xml:space="preserve">Por todo ello, el tercer agravio también debe ser rechazado, remitiendo en lo pertinente a los fundamentos ya vertidos al examinar la responsabilidad y la valoración probatoria en ambos expedientes.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w:t>
      </w:r>
      <w:r>
        <w:rPr>
          <w:b/>
          <w:lang w:val="es-AR" w:eastAsia="es-AR" w:bidi="es-AR"/>
        </w:rPr>
        <w:t xml:space="preserve"> </w:t>
      </w:r>
      <w:r>
        <w:rPr>
          <w:lang w:val="es-AR" w:eastAsia="es-AR" w:bidi="es-AR"/>
        </w:rPr>
        <w:t xml:space="preserve">actora vencida</w:t>
      </w:r>
      <w:r>
        <w:rPr>
          <w:b/>
          <w:lang w:val="es-AR" w:eastAsia="es-AR" w:bidi="es-AR"/>
        </w:rPr>
        <w:t xml:space="preserve"> </w:t>
      </w:r>
      <w:r>
        <w:rPr>
          <w:lang w:val="es-AR" w:eastAsia="es-AR" w:bidi="es-AR"/>
        </w:rPr>
        <w:t xml:space="preserve">(art.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w:t>
      </w:r>
      <w:r>
        <w:rPr>
          <w:b/>
          <w:lang w:val="es-AR" w:eastAsia="es-AR" w:bidi="es-AR"/>
        </w:rPr>
        <w:t xml:space="preserve"> </w:t>
      </w:r>
      <w:r>
        <w:rPr>
          <w:lang w:val="es-AR" w:eastAsia="es-AR" w:bidi="es-AR"/>
        </w:rPr>
        <w:t xml:space="preserve">actora vencida</w:t>
      </w:r>
      <w:r>
        <w:rPr>
          <w:b/>
          <w:lang w:val="es-AR" w:eastAsia="es-AR" w:bidi="es-AR"/>
        </w:rPr>
        <w:t xml:space="preserve"> </w:t>
      </w:r>
      <w:r>
        <w:rPr>
          <w:lang w:val="es-AR" w:eastAsia="es-AR" w:bidi="es-AR"/>
        </w:rPr>
        <w:t xml:space="preserve">(art.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10:03:08 -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10:30:23 -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18/12/2025 11:54:57 -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‰9p")è&amp;eÂG5Š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258002090006699739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18/12/2025 11:55:10 hs. bajo el número RS-191-2025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