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Ese. Jueces de la Eccema. Cámara de Apelación en lo Civil y Comercial del Departamento Judicial Pergamino, para dictar sentencia en la causa N° </w:t>
      </w:r>
      <w:r>
        <w:rPr>
          <w:color w:val="000000"/>
          <w:lang w:val="es-AR" w:eastAsia="es-AR" w:bidi="es-AR"/>
        </w:rPr>
        <w:t xml:space="preserve">5738-25</w:t>
      </w:r>
      <w:r>
        <w:rPr>
          <w:lang w:val="es-AR" w:eastAsia="es-AR" w:bidi="es-AR"/>
        </w:rPr>
        <w:t xml:space="preserve"> caratulada </w:t>
      </w:r>
      <w:r>
        <w:rPr>
          <w:b/>
          <w:lang w:val="es-AR" w:eastAsia="es-AR" w:bidi="es-AR"/>
        </w:rPr>
        <w:t xml:space="preserve">"</w:t>
      </w:r>
      <w:r>
        <w:rPr>
          <w:b/>
          <w:color w:val="000000"/>
          <w:lang w:val="es-AR" w:eastAsia="es-AR" w:bidi="es-AR"/>
        </w:rPr>
        <w:t xml:space="preserve">BERNAL NATACHA CONSTANZA Y OTROS C/ GONZALEZ BRUN LEONARDO Y OTRO/A S/ DAÑOS Y PERJ.AUTOM. C/LES. O MUERTE (EXC.ESTADO)</w:t>
      </w:r>
      <w:r>
        <w:rPr>
          <w:b/>
          <w:lang w:val="es-AR" w:eastAsia="es-AR" w:bidi="es-AR"/>
        </w:rPr>
        <w:t xml:space="preserve">"</w:t>
      </w:r>
      <w:r>
        <w:rPr>
          <w:lang w:val="es-AR" w:eastAsia="es-AR" w:bidi="es-AR"/>
        </w:rPr>
        <w:t xml:space="preserve">, Expte. </w:t>
      </w:r>
      <w:r>
        <w:rPr>
          <w:color w:val="000000"/>
          <w:lang w:val="es-AR" w:eastAsia="es-AR" w:bidi="es-AR"/>
        </w:rPr>
        <w:t xml:space="preserve">76.247</w:t>
      </w:r>
      <w:r>
        <w:rPr>
          <w:color w:val="000000"/>
          <w:lang w:val="es-AR" w:eastAsia="es-AR" w:bidi="es-AR"/>
        </w:rPr>
        <w:t xml:space="preserve"> </w:t>
      </w:r>
      <w:r>
        <w:rPr>
          <w:lang w:val="es-AR" w:eastAsia="es-AR" w:bidi="es-AR"/>
        </w:rPr>
        <w:t xml:space="preserve">del Juzgado en lo Civil y Comercial N° 1,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hizo lugar a la exclusión de cobertura, defensa de no seguro opuesta por la citada en garantía, La Segunda Cooperativa Limitada de Seguros Generales; con costas a cargo de la parte demandada, Sr. Leonardo Ezequiel González Brun. Difirió la regulación de honorarios de los letrados intervinientes, hasta que medie firme la respectiva liquidación de intereses y gastos (art. 51 ley 14.967). Declaró la inconstitucionalidad sobrevenida de los arts. 7 y 10 de la ley 23.928, según ley 25.561, del mismo modo que su inaplicabilidad al caso, a fin de disponer una equitativa actualización del crédito adeudado. Hizo lugar a la demanda incoada y, en consecuencia, condenó al demandado Sr. Leonardo Ezequiel González Brun, a abonar la parte actora dentro de los diez (10) días de notificada la presente, la suma de CIENTO SETENTA Y TRES MILLONES QUINIENTOS NOVENTA Y TRES MIL QUINIENTOS SESENTA Y SEIS Pesos ($173.593.566), -correspondiendo a la Sra. Natacha Constanza Bernal, por derecho propio, la suma de $13.464.000; a la Sra. Debra Agustina Rivarola, por derecho propio, la suma de $7.040.000, al Sr. Antonio Maximiliano Rivarola, por derecho propio, la suma de $9.900.000 y a la Sra. Natacha Constanza Bernal y al Sr. Antonio Maximiliano Rivarola, en carácter de herederos de Don Rodrigo Rivarola, la suma de $143.189.566- actualizable según lo dispuesto en el considerando VIII, con más sus respectivos intereses calculados en la forma establecida en el considerando VII, a partir de la fecha del hecho (12/12/2020) y hasta el momento de su efectivo pago (S.C.B.A., Ac. 2078, C-95.720 del 15/09/2010 y L-118615 del 11/03/2015) (art. 768 C.C.C.N.).  Aplicó las costas a la parte demandada que resulta vencida (art. 68 C.P.C.).  Difirió la regulación de honorarios de los letrados intervinientes y de los peritos, hasta que medie firme la respectiva liquidación de intereses y gastos (art. 51 ley 14.967).</w:t>
      </w:r>
    </w:p>
    <w:p>
      <w:pPr>
        <w:pStyle w:val="[Normal]"/>
        <w:spacing w:line="360" w:lineRule="auto"/>
        <w:ind w:firstLine="1134"/>
        <w:jc w:val="both"/>
        <w:rPr>
          <w:lang w:val="es-AR" w:eastAsia="es-AR" w:bidi="es-AR"/>
        </w:rPr>
      </w:pPr>
      <w:r>
        <w:rPr>
          <w:lang w:val="es-AR" w:eastAsia="es-AR" w:bidi="es-AR"/>
        </w:rPr>
        <w:t xml:space="preserve">Tal decisorio fue objeto de los recursos de apelación por la parte actora (17-6-2025) y por la parte demandada (16-6-2025) ambos concedidos libremente y en efecto suspensivo.  Elevados los autos a esta Alzada con fecha 25-7-2025 la parte actora fundó sus agravios y el 7-8-2025 hizo los mismo la parte demandada.  El día 12-8-2025 traslados recíprocos, los que fueron evacuados el 19-8-2025 por la parte demandada; el 20-8-225 por la parte actora y el 25-8-2025 por la citada en garantía. 26-8-2025 llamamiento de autos, providencia, que firme a la fecha deja la causa en condiciones de ser fallada.</w:t>
      </w:r>
    </w:p>
    <w:p>
      <w:pPr>
        <w:pStyle w:val="[Normal]"/>
        <w:spacing w:line="360" w:lineRule="auto"/>
        <w:ind w:firstLine="1134"/>
        <w:jc w:val="both"/>
        <w:rPr>
          <w:lang w:val="es-AR" w:eastAsia="es-AR" w:bidi="es-AR"/>
        </w:rPr>
      </w:pPr>
      <w:r>
        <w:rPr>
          <w:b/>
          <w:lang w:val="es-AR" w:eastAsia="es-AR" w:bidi="es-AR"/>
        </w:rPr>
        <w:t xml:space="preserve">I).- Agravios parte actora</w:t>
      </w:r>
      <w:r>
        <w:rPr>
          <w:lang w:val="es-AR" w:eastAsia="es-AR" w:bidi="es-AR"/>
        </w:rPr>
        <w:t xml:space="preserve">: Discurren sobre: a) la distribución causal imputada en un 55% al demandado Brun y un 45 % a Rodrigo Rivarola, achacando un apartamiento de las constancias de la causa, relativas a la velocidad desarrollada en ocasión de su conducción recogida en sede penal, señalando que excedía el demandado la velocidad permitida; la omisión de valoración de conducción bajo los efectos del alcohol por el Sr. Brun quien según examen toxicológico registra 1,54 g/l de alcohol en sangre, y que llevaría a resultado distinto; excesiva valoración de incidencia causal del actor en el propio evento.-</w:t>
      </w:r>
    </w:p>
    <w:p>
      <w:pPr>
        <w:pStyle w:val="[Normal]"/>
        <w:spacing w:line="360" w:lineRule="auto"/>
        <w:ind w:firstLine="1134"/>
        <w:jc w:val="both"/>
        <w:rPr>
          <w:lang w:val="es-AR" w:eastAsia="es-AR" w:bidi="es-AR"/>
        </w:rPr>
      </w:pPr>
      <w:r>
        <w:rPr>
          <w:lang w:val="es-AR" w:eastAsia="es-AR" w:bidi="es-AR"/>
        </w:rPr>
        <w:t xml:space="preserve">b) Achaca descalificación del dictamen pericial médico con un apartamiento que dice inmotivado, relativo a la influencia o no del uso correcto del casco y su relación con la importancia de la lesión del tejido encefálico.</w:t>
      </w:r>
    </w:p>
    <w:p>
      <w:pPr>
        <w:pStyle w:val="[Normal]"/>
        <w:spacing w:line="360" w:lineRule="auto"/>
        <w:ind w:firstLine="1134"/>
        <w:jc w:val="both"/>
        <w:rPr>
          <w:lang w:val="es-AR" w:eastAsia="es-AR" w:bidi="es-AR"/>
        </w:rPr>
      </w:pPr>
      <w:r>
        <w:rPr>
          <w:lang w:val="es-AR" w:eastAsia="es-AR" w:bidi="es-AR"/>
        </w:rPr>
        <w:t xml:space="preserve">c) Se duele contra la admisión de la defensa de no seguro, falta de legitimación pasiva y exclusión de cobertura interpuesta por la citada en garantía, aduciendo que en ocasión de correrse traslado de dichas defensas no se dio cumplimiento al recaudo impuesto en el art. 56 de la ley 17.418, señalando que la aseguradora en su misiva, ofrecida como prueba documental, remitida en forma extemporánea, sujeta su conducta a los término de dicho precepto para recién en marzo de 2021 expedirse sobre le rechazo del siniestro.  De todo lo cual el recurrente extrae que la citada en garantía con su comportamiento reconoció que se encontraba en la obligación de expedirse sobre la aceptación o no del siniestro y la segunda que ello lo llevo a cabo en forma extemporánea.</w:t>
      </w:r>
    </w:p>
    <w:p>
      <w:pPr>
        <w:pStyle w:val="[Normal]"/>
        <w:spacing w:line="360" w:lineRule="auto"/>
        <w:ind w:firstLine="1134"/>
        <w:jc w:val="both"/>
        <w:rPr>
          <w:lang w:val="es-AR" w:eastAsia="es-AR" w:bidi="es-AR"/>
        </w:rPr>
      </w:pPr>
      <w:r>
        <w:rPr>
          <w:lang w:val="es-AR" w:eastAsia="es-AR" w:bidi="es-AR"/>
        </w:rPr>
        <w:t xml:space="preserve">d) Se duele de la cuantificación dada a los rubros de incapacidad y que se haya tomando como parámetro a fines del cálculo la edad límite de 65 años, la suma dada en concepto de daño moral tanto las otorgadas en calidad de herederos de Rodrigo como las otorgadas por derecho propio. Atacan los gastos médicos, farmacéuticos y de traslado y la pérdida de chance.</w:t>
      </w:r>
    </w:p>
    <w:p>
      <w:pPr>
        <w:pStyle w:val="[Normal]"/>
        <w:spacing w:line="360" w:lineRule="auto"/>
        <w:ind w:firstLine="1134"/>
        <w:jc w:val="both"/>
        <w:rPr>
          <w:lang w:val="es-AR" w:eastAsia="es-AR" w:bidi="es-AR"/>
        </w:rPr>
      </w:pPr>
      <w:r>
        <w:rPr>
          <w:lang w:val="es-AR" w:eastAsia="es-AR" w:bidi="es-AR"/>
        </w:rPr>
        <w:t xml:space="preserve">II).-</w:t>
      </w:r>
      <w:r>
        <w:rPr>
          <w:b/>
          <w:lang w:val="es-AR" w:eastAsia="es-AR" w:bidi="es-AR"/>
        </w:rPr>
        <w:t xml:space="preserve">Agravios demandado Brun: a) </w:t>
      </w:r>
      <w:r>
        <w:rPr>
          <w:lang w:val="es-AR" w:eastAsia="es-AR" w:bidi="es-AR"/>
        </w:rPr>
        <w:t xml:space="preserve">Se duele de la distribución de responsabilidad dada achacando la culpa a la propia víctima Rivarola, deteniéndose en el análisis de cada elemento, b) ataca la exclusión de cobertura decidida por el aquo, acusando yerro en la interpretación y aplicación del art. 56 de la ley 17.418, c) se duele contra la indemnización otorgada por incapacidad física, la formula elegida y las omisiones que detalla, d) contra el daño moral calificando de injusta y desproporcionada, e) la cuanitificación del rubro gastos médicos farmacéuticos y de traslado, f) daño moral conferido a la Sra. Bernal, al Sr. Rivarola Antonio y Rivarola Debra, g) daño psíquico otorgado a la Sra. Bernal y la Sra. Rivarola Debra, h) actualización del capital IPC.</w:t>
      </w:r>
    </w:p>
    <w:p>
      <w:pPr>
        <w:pStyle w:val="[Normal]"/>
        <w:spacing w:line="360" w:lineRule="auto"/>
        <w:ind w:firstLine="1134"/>
        <w:jc w:val="both"/>
        <w:rPr>
          <w:lang w:val="es-AR" w:eastAsia="es-AR" w:bidi="es-AR"/>
        </w:rPr>
      </w:pPr>
      <w:r>
        <w:rPr>
          <w:lang w:val="es-AR" w:eastAsia="es-AR" w:bidi="es-AR"/>
        </w:rPr>
        <w:t xml:space="preserve">Los agravios son evacuados en tiempo y forma por las partes sosteniendo cada uno sus posiciones.</w:t>
      </w:r>
    </w:p>
    <w:p>
      <w:pPr>
        <w:pStyle w:val="[Normal]"/>
        <w:spacing w:line="360" w:lineRule="auto"/>
        <w:ind w:firstLine="1134"/>
        <w:jc w:val="both"/>
        <w:rPr>
          <w:lang w:val="es-AR" w:eastAsia="es-AR" w:bidi="es-AR"/>
        </w:rPr>
      </w:pPr>
      <w:r>
        <w:rPr>
          <w:lang w:val="es-AR" w:eastAsia="es-AR" w:bidi="es-AR"/>
        </w:rPr>
        <w:t xml:space="preserve">III).- </w:t>
      </w:r>
      <w:r>
        <w:rPr>
          <w:b/>
          <w:lang w:val="es-AR" w:eastAsia="es-AR" w:bidi="es-AR"/>
        </w:rPr>
        <w:t xml:space="preserve">Antecedentes:</w:t>
      </w:r>
      <w:r>
        <w:rPr>
          <w:lang w:val="es-AR" w:eastAsia="es-AR" w:bidi="es-AR"/>
        </w:rPr>
        <w:t xml:space="preserve"> La plataforma fáctica da cuenta de un siniestro acontecido el 12/12/2020 aproximadamente a las 04:00 hs. entre una Motocicleta Honda XR 150 cc Dominio A 087 GPO que circulaba por Avda. Pellegrini de esta ciudad de Pergamino en dirección al Hotel Howard Jhonson al comando de Rodrigo Rivarola; en otra moto marca Honda Biz color azul iban sus amigos Bruno Rodriguez, Jazmín Carpio y Juliana Romero Montes, en el mismo sentido Norte Sur.  Debido a que la moto de Rivarola sufre un desperfecto es llevada a tiro por la moto conducida por Rodriquez, apoyando éste su pierna en el pedalin trasero de la moto conducida por Rivarola.  En un momento ambas motos se separan, quedando adelante la de Rivarola y la de Rodriguez atrás.  Allí aparece en escena un automóvil conducido por Leonardo Gonzalez Brun quien se desplazaba en el mismo sentido de circulación a bordo de un Volkswagen Gol Trend Dominio MUX646, adelantándose a la última moto (de Rodriguez)  impacta con el frente izquierdo del vehículo en la rueda trasera de la moto de Rivarola, realizando una maniobra de frenada, dejando una huella impresa de 31.15 mts. de longitud, cayendo la moto de Rivarola en contacto con la calzada sobre el lateral izquierdo arrastrándose sobre la banquina en dirección noreste sueste unos 25,30 metros quedando sobre la banquina Este.  A raíz del accidente Rodrigo fue internado en el HIGA San José de Pergamino, para luego ser trasladado a distintos sanatorios y clínicas fuera de la ciudad, falleciendo a consecuencia de las lesiones el 25/11/2023.  El operador de grado dictó sentencia el 12/06/2025 haciendo lugar a la exclusión de cobertura, defensa de no seguro opuesta por la citada en garantía "La Segunda Cooperativa Ltda. de Seguros Generales" y atribuyendo luego el 55% de la responsabilidad al demandado Leonardo Ezequiel Gonzalez Brun y un 45% a Rodrigo Rivarola, condenando a pagar a los herederos las sumas que la sentencia consigna.</w:t>
      </w:r>
    </w:p>
    <w:p>
      <w:pPr>
        <w:pStyle w:val="[Normal]"/>
        <w:spacing w:line="360" w:lineRule="auto"/>
        <w:ind w:firstLine="1134"/>
        <w:jc w:val="both"/>
        <w:rPr>
          <w:lang w:val="es-AR" w:eastAsia="es-AR" w:bidi="es-AR"/>
        </w:rPr>
      </w:pPr>
      <w:r>
        <w:rPr>
          <w:lang w:val="es-AR" w:eastAsia="es-AR" w:bidi="es-AR"/>
        </w:rPr>
        <w:t xml:space="preserve">IV).- </w:t>
      </w:r>
      <w:r>
        <w:rPr>
          <w:b/>
          <w:lang w:val="es-AR" w:eastAsia="es-AR" w:bidi="es-AR"/>
        </w:rPr>
        <w:t xml:space="preserve">Resolución: </w:t>
      </w:r>
      <w:r>
        <w:rPr>
          <w:lang w:val="es-AR" w:eastAsia="es-AR" w:bidi="es-AR"/>
        </w:rPr>
        <w:t xml:space="preserve">Entrando a resolver advierto que la cuestión sometida a revisión puede descomponerse en tres dimensiones fundamentales: 1) La primera está centrada en la juridicidad de la declaración de responsabilidad endilgada. 2) La segunda -condicionada por el resultado positivo de la primera- gira en relación al grado de contribución causal atribuido a los protagonistas del hecho dañoso que diera origen al presente reclamo. 3) Y la tercera -subdependiente de las anteriores- estriba en la defensa de no seguro y exclusión de cobertura y falta de legitimación pasiva y 4) La cuantificación de los daños resarcibles de contenido patrimonial y extrapatrimonial también discutido por las partes.</w:t>
      </w:r>
    </w:p>
    <w:p>
      <w:pPr>
        <w:pStyle w:val="[Normal]"/>
        <w:spacing w:line="360" w:lineRule="auto"/>
        <w:ind w:firstLine="1134"/>
        <w:jc w:val="both"/>
        <w:rPr>
          <w:lang w:val="es-AR" w:eastAsia="es-AR" w:bidi="es-AR"/>
        </w:rPr>
      </w:pPr>
      <w:r>
        <w:rPr>
          <w:lang w:val="es-AR" w:eastAsia="es-AR" w:bidi="es-AR"/>
        </w:rPr>
        <w:t xml:space="preserve">Como prevención metodológica, he de señalar que, a fin de efectuar un abordaje lógico de las temáticas controvertidas, he de propiciar el tratamiento de los distintos aspectos críticos planteados dentro de cada una de las dimensiones aludidas en el párrafo anterior, analizando conjuntamente los agravios de las partes apelantes que convergen en torno a dichos ejes argumentales.</w:t>
      </w:r>
    </w:p>
    <w:p>
      <w:pPr>
        <w:pStyle w:val="[Normal]"/>
        <w:spacing w:line="360" w:lineRule="auto"/>
        <w:ind w:firstLine="1134"/>
        <w:jc w:val="both"/>
        <w:rPr>
          <w:lang w:val="es-AR" w:eastAsia="es-AR" w:bidi="es-AR"/>
        </w:rPr>
      </w:pPr>
      <w:r>
        <w:rPr>
          <w:lang w:val="es-AR" w:eastAsia="es-AR" w:bidi="es-AR"/>
        </w:rPr>
        <w:t xml:space="preserve">V).- La descripción de la plataforma y la responsabilidad fallada se apoya sobre numerosa documental traída mediante la causa penal, que también fuera ofrecida como instrumental tornándose en prueba común.  Así se han tenido en cuenta los elementos obrantes en la IPP Nro. 12-00-007022-20/00 tales como: acta de procedimiento de fs. 1/6, testimonial de fs. 7/8, 9, documental de fs. 10/11 y 13, acta de notificación de fs. 14, documental de fs. 22/24, pericia mecánica de fs. 25, documental de fs. 46/48, pericia mecánica de fs. 49, documental de fs. 50/55, informe de fs. 58, acta de infracción de fs. 66, entrega de fs. 68, informe médico de fs. 85, pericia alcoholimétrica de fs. 95, mecánica de fs. 104, accidentológica de fs. 111/115, testimonial de fs. 127/128 , pericial de fs. 157/158.</w:t>
      </w:r>
    </w:p>
    <w:p>
      <w:pPr>
        <w:pStyle w:val="[Normal]"/>
        <w:spacing w:line="360" w:lineRule="auto"/>
        <w:ind w:firstLine="1134"/>
        <w:jc w:val="both"/>
        <w:rPr>
          <w:lang w:val="es-AR" w:eastAsia="es-AR" w:bidi="es-AR"/>
        </w:rPr>
      </w:pPr>
      <w:r>
        <w:rPr>
          <w:lang w:val="es-AR" w:eastAsia="es-AR" w:bidi="es-AR"/>
        </w:rPr>
        <w:t xml:space="preserve">Esta Investigación Penal Preparatoria fue luego sostenida en la requisitoria de elevación ajuicio, habiendo tramitado la causa en el Juzgado Correccional Nro. 2 condenándose al imputado Leonardo Ezequiel González Brun como autor penalmente responsable del delito de lesiones culposas ocasionadas por la conducción imprudente de vehículo automotor por conducir con un nivel de alcohol superior a 1 gramo por litro de sangre, a la pena de dos años de prisión de cumplimiento en suspenso e inhabilitación para conducir vehículos con motor por dos años.</w:t>
      </w:r>
    </w:p>
    <w:p>
      <w:pPr>
        <w:pStyle w:val="[Normal]"/>
        <w:spacing w:line="360" w:lineRule="auto"/>
        <w:ind w:firstLine="1134"/>
        <w:jc w:val="both"/>
        <w:rPr>
          <w:lang w:val="es-AR" w:eastAsia="es-AR" w:bidi="es-AR"/>
        </w:rPr>
      </w:pPr>
      <w:r>
        <w:rPr>
          <w:lang w:val="es-AR" w:eastAsia="es-AR" w:bidi="es-AR"/>
        </w:rPr>
        <w:t xml:space="preserve">La sentencia penal condenatoria no impide la revisión de los aportes causales de los protagonistas, con las reglas propias de la normativa civil, y eso es lo que ha acontecido en la especie, distribuyendo el operador las contribuciones de los protagonistas, (55% al demandado Brun y un 45% a Rivarola) hoy puesto en crisis por las partes.</w:t>
      </w:r>
    </w:p>
    <w:p>
      <w:pPr>
        <w:pStyle w:val="[Normal]"/>
        <w:spacing w:line="360" w:lineRule="auto"/>
        <w:ind w:firstLine="1134"/>
        <w:jc w:val="both"/>
        <w:rPr>
          <w:lang w:val="es-AR" w:eastAsia="es-AR" w:bidi="es-AR"/>
        </w:rPr>
      </w:pPr>
      <w:r>
        <w:rPr>
          <w:lang w:val="es-AR" w:eastAsia="es-AR" w:bidi="es-AR"/>
        </w:rPr>
        <w:t xml:space="preserve">Normativamente ha recurrido el sentenciante en forma atinada a los principios de la responsabilidad objetiva, evaluando el riesgo creado como factor de atribución, previsto a partir de los arts. 1757, 1759 y ccs. del Código Civil Unificado y en la especie, tratándose de dos cosas generadoras de riesgo, también analizó el aporte causal de cada uno.</w:t>
      </w:r>
    </w:p>
    <w:p>
      <w:pPr>
        <w:pStyle w:val="[Normal]"/>
        <w:spacing w:line="360" w:lineRule="auto"/>
        <w:ind w:firstLine="1134"/>
        <w:jc w:val="both"/>
        <w:rPr>
          <w:b/>
          <w:lang w:val="es-AR" w:eastAsia="es-AR" w:bidi="es-AR"/>
        </w:rPr>
      </w:pPr>
      <w:r>
        <w:rPr>
          <w:lang w:val="es-AR" w:eastAsia="es-AR" w:bidi="es-AR"/>
        </w:rPr>
        <w:t xml:space="preserve">Es indudable que ambos protagonistas vulneraron el principio de legalidad y que dichas conductas contribuyeron al resultado dañoso que lamentablemente ocasionara la muerte de uno de ellos.</w:t>
      </w:r>
    </w:p>
    <w:p>
      <w:pPr>
        <w:pStyle w:val="[Normal]"/>
        <w:spacing w:line="360" w:lineRule="auto"/>
        <w:ind w:firstLine="1134"/>
        <w:jc w:val="both"/>
        <w:rPr>
          <w:lang w:val="es-AR" w:eastAsia="es-AR" w:bidi="es-AR"/>
        </w:rPr>
      </w:pPr>
      <w:r>
        <w:rPr>
          <w:lang w:val="es-AR" w:eastAsia="es-AR" w:bidi="es-AR"/>
        </w:rPr>
        <w:t xml:space="preserve">VI).- Liminarmente voy a tratar la contribución causal puesta en crisis por las partes, traída en los agravios:</w:t>
      </w:r>
      <w:r>
        <w:rPr>
          <w:b/>
          <w:lang w:val="es-AR" w:eastAsia="es-AR" w:bidi="es-AR"/>
        </w:rPr>
        <w:t xml:space="preserve"> </w:t>
      </w:r>
      <w:r>
        <w:rPr>
          <w:lang w:val="es-AR" w:eastAsia="es-AR" w:bidi="es-AR"/>
        </w:rPr>
        <w:t xml:space="preserve">a) la ingesta de alcohol que presentaba el demandado González Brun acreditada tanto en sede penal como civil con el examen toxicológico de 1,54 g/l de alcohol en sangre (pericia de fs 95).  Y a esto es demostrativo no solo de la infracción de la ley de tránsito en tanto además de vulnerar un precepto determinado, sino que esa circunstancia  le disminuye la posibilidad de conservar el dominio de su rodado y estar atento en todo momento al tránsito vehicular. </w:t>
      </w:r>
    </w:p>
    <w:p>
      <w:pPr>
        <w:pStyle w:val="[Normal]"/>
        <w:spacing w:line="360" w:lineRule="auto"/>
        <w:ind w:firstLine="1134"/>
        <w:jc w:val="both"/>
        <w:rPr>
          <w:i/>
          <w:lang w:val="es-AR" w:eastAsia="es-AR" w:bidi="es-AR"/>
        </w:rPr>
      </w:pPr>
      <w:r>
        <w:rPr>
          <w:lang w:val="es-AR" w:eastAsia="es-AR" w:bidi="es-AR"/>
        </w:rPr>
        <w:t xml:space="preserve">La ley provincial es tajante mediante la reforma de la ley 15402: </w:t>
      </w:r>
      <w:r>
        <w:rPr>
          <w:i/>
          <w:lang w:val="es-AR" w:eastAsia="es-AR" w:bidi="es-AR"/>
        </w:rPr>
        <w:t xml:space="preserve">"Incorpórase el artículo 2° bis a la Ley N° 13.927, el que quedará redactado de la siguiente manera: “Artículo 2° bis.- OBJETO.  La presente Ley tiene por objeto preservar la salud, la vida y la seguridad de quienes transiten el territorio provincial; reducir la mortalidad y la morbilidad derivadas de la siniestralidad vial.  Las normas que fijan las pautas de circulación y las que establecen los límites legales de alcohol en sangre y de cualquier sustancia que disminuya las condiciones para la conducción, integran las políticas públicas de seguridad vial. ARTÍCULO 2°: Incorpórase el TÍTULO IX BIS integrado por el artículo 28 ter a la Ley N° 13.927, el que quedará redactado de la siguiente manera: TÍTULO IX BIS ALCOHOL 0 PROHIBICIÓN DE CONDUCIR.</w:t>
      </w:r>
    </w:p>
    <w:p>
      <w:pPr>
        <w:pStyle w:val="[Normal]"/>
        <w:spacing w:line="360" w:lineRule="auto"/>
        <w:ind w:firstLine="1134"/>
        <w:jc w:val="both"/>
        <w:rPr>
          <w:i/>
          <w:lang w:val="es-AR" w:eastAsia="es-AR" w:bidi="es-AR"/>
        </w:rPr>
      </w:pPr>
      <w:r>
        <w:rPr>
          <w:i/>
          <w:lang w:val="es-AR" w:eastAsia="es-AR" w:bidi="es-AR"/>
        </w:rPr>
        <w:t xml:space="preserve">Artículo 28 ter.- PROHIBICIÓN DE CONDUCIR. Queda prohibido conducir cualquier tipo de vehículo con motor a quien registre una alcoholemia superior a 0 (cero) miligramos de alcohol por litro de sangre. Así también está prohibido conducir a quienes hubiesen consumido medicamentos, estupefacientes, psicotrópicos, estimulantes o sustancias que la Autoridad de Aplicación, con intervención del Ministerio de Salud, determine como capaces de disminuir la aptitud para conducir.</w:t>
      </w:r>
    </w:p>
    <w:p>
      <w:pPr>
        <w:pStyle w:val="[Normal]"/>
        <w:spacing w:line="360" w:lineRule="auto"/>
        <w:ind w:firstLine="1134"/>
        <w:jc w:val="both"/>
        <w:rPr>
          <w:i/>
          <w:lang w:val="es-AR" w:eastAsia="es-AR" w:bidi="es-AR"/>
        </w:rPr>
      </w:pPr>
      <w:r>
        <w:rPr>
          <w:i/>
          <w:lang w:val="es-AR" w:eastAsia="es-AR" w:bidi="es-AR"/>
        </w:rPr>
        <w:t xml:space="preserve">La Autoridad de Aplicación establecerá el mínimo de error tolerable para los dispositivos medidores de concentración de las sustancias mencionadas en el párrafo precedente, debiendo utilizarse equipos o sistemas de medición cuya información no pueda ser alterada manualmente. Sus resultados deberán ser analizados considerando el factor tiempo, en el modo que establezca la reglamentación.</w:t>
      </w:r>
    </w:p>
    <w:p>
      <w:pPr>
        <w:pStyle w:val="[Normal]"/>
        <w:spacing w:line="360" w:lineRule="auto"/>
        <w:ind w:firstLine="1134"/>
        <w:jc w:val="both"/>
        <w:rPr>
          <w:lang w:val="es-AR" w:eastAsia="es-AR" w:bidi="es-AR"/>
        </w:rPr>
      </w:pPr>
      <w:r>
        <w:rPr>
          <w:lang w:val="es-AR" w:eastAsia="es-AR" w:bidi="es-AR"/>
        </w:rPr>
        <w:t xml:space="preserve">Además de vulnerar el principio de legalidad está comprobado científicamente que conducir con ingesta alcohólica provoca numerosos efectos indeseados, tales como: disminuye los reflejos, altera la percepción de las distancias, aumenta a sensibilidad a la luz, reduce el campo visual, entre otros efectos que pueden provocar accidentes.</w:t>
      </w:r>
    </w:p>
    <w:p>
      <w:pPr>
        <w:pStyle w:val="[Normal]"/>
        <w:spacing w:line="360" w:lineRule="auto"/>
        <w:ind w:firstLine="1134"/>
        <w:jc w:val="both"/>
        <w:rPr>
          <w:lang w:val="es-AR" w:eastAsia="es-AR" w:bidi="es-AR"/>
        </w:rPr>
      </w:pPr>
      <w:r>
        <w:rPr>
          <w:lang w:val="es-AR" w:eastAsia="es-AR" w:bidi="es-AR"/>
        </w:rPr>
        <w:t xml:space="preserve">Respecto de la velocidad desarrollada se ha acreditado que circulaba a 79,05 km por hora (accidentológica de fs. 111/115) y ampliación de puntos de pericia de fs. 157/158.-</w:t>
      </w:r>
    </w:p>
    <w:p>
      <w:pPr>
        <w:pStyle w:val="[Normal]"/>
        <w:spacing w:line="360" w:lineRule="auto"/>
        <w:ind w:firstLine="1134"/>
        <w:jc w:val="both"/>
        <w:rPr>
          <w:lang w:val="es-AR" w:eastAsia="es-AR" w:bidi="es-AR"/>
        </w:rPr>
      </w:pPr>
      <w:r>
        <w:rPr>
          <w:lang w:val="es-AR" w:eastAsia="es-AR" w:bidi="es-AR"/>
        </w:rPr>
        <w:t xml:space="preserve">Cabe señalar que quien  conduce una cosa riesgosa con ingesta alcohólica se ha representado la posibilidad de provocar un daño, es decir se advierte la presencia de un dolo eventual civil, y aún así siguió adelante con dicha conducción con desaprensión de los perjuicios que pudiera ocasionar esa conducta, y si a ello le agregamos la velocidad de tránsito acreditada, podemos señalar que su contribución ha sido mayor tal como la fijara el juez de grado en un 55%.</w:t>
      </w:r>
    </w:p>
    <w:p>
      <w:pPr>
        <w:pStyle w:val="[Normal]"/>
        <w:spacing w:line="360" w:lineRule="auto"/>
        <w:ind w:firstLine="1134"/>
        <w:jc w:val="both"/>
        <w:rPr>
          <w:lang w:val="es-AR" w:eastAsia="es-AR" w:bidi="es-AR"/>
        </w:rPr>
      </w:pPr>
      <w:r>
        <w:rPr>
          <w:lang w:val="es-AR" w:eastAsia="es-AR" w:bidi="es-AR"/>
        </w:rPr>
        <w:t xml:space="preserve">Pero es indudable que también la víctima contribuyó con su accionar a las consecuencias indeseadas, quedando acreditado  que a la hora del siniestro era remolcado por otro vehículo, sin acople, sólo con la fuerza ejercida contra un pedalin de la Honda XR lo cual resulta ser una maniobra prohibida, lo que surge de la declaración testimonial brindada en sede penal y las constancias recogidas por las experticias incorporadas a la misma.</w:t>
      </w:r>
    </w:p>
    <w:p>
      <w:pPr>
        <w:pStyle w:val="[Normal]"/>
        <w:spacing w:line="360" w:lineRule="auto"/>
        <w:ind w:firstLine="1134"/>
        <w:jc w:val="both"/>
        <w:rPr>
          <w:lang w:val="es-AR" w:eastAsia="es-AR" w:bidi="es-AR"/>
        </w:rPr>
      </w:pPr>
      <w:r>
        <w:rPr>
          <w:lang w:val="es-AR" w:eastAsia="es-AR" w:bidi="es-AR"/>
        </w:rPr>
        <w:t xml:space="preserve">En el medio de una Avenida y sin luces, no contaba con casco protector debidamente colocados ni espejos reglamentarios. También se achaca la falta de acreditación del carnet habilitante en Rivarola, todo ello recogido por el operador de grado (cfr informe de fs  113 de la causa penal reseñada).</w:t>
      </w:r>
    </w:p>
    <w:p>
      <w:pPr>
        <w:pStyle w:val="[Normal]"/>
        <w:spacing w:line="360" w:lineRule="auto"/>
        <w:ind w:firstLine="1134"/>
        <w:jc w:val="both"/>
        <w:rPr>
          <w:lang w:val="es-AR" w:eastAsia="es-AR" w:bidi="es-AR"/>
        </w:rPr>
      </w:pPr>
      <w:r>
        <w:rPr>
          <w:lang w:val="es-AR" w:eastAsia="es-AR" w:bidi="es-AR"/>
        </w:rPr>
        <w:t xml:space="preserve">De ello se desprende por parte del conductor del ciclomotor una clara vulneración de las disposiciones contenidas en la Ley Nacional Nro. 24.449 y Ley Provincial y sus decretos reglamentarios (13.927 y 24.449).</w:t>
      </w:r>
    </w:p>
    <w:p>
      <w:pPr>
        <w:pStyle w:val="[Normal]"/>
        <w:spacing w:line="360" w:lineRule="auto"/>
        <w:ind w:firstLine="1134"/>
        <w:jc w:val="both"/>
        <w:rPr>
          <w:lang w:val="es-AR" w:eastAsia="es-AR" w:bidi="es-AR"/>
        </w:rPr>
      </w:pPr>
      <w:r>
        <w:rPr>
          <w:lang w:val="es-AR" w:eastAsia="es-AR" w:bidi="es-AR"/>
        </w:rPr>
        <w:t xml:space="preserve">Conforme los precedentes de este Tribunal, Reg. 103/2020 y Registro 172/2020 en mi primer voto he señalado con cita de fallo que "la ausencia de carnet se erige como un fuerte indicio de que el conductor carece de la necesaria habilidad para evitar o impedir las dificultades del tránsito, lo que desde el punto de vista del factor objetivo del riesgo creado posibilita advertir el grado de incidencia que la falta de carnet tiene sobre el infractor" Cfr. CC0002 AZ 63004 S 1/11/2018 Juez Galdos (SD).</w:t>
      </w:r>
    </w:p>
    <w:p>
      <w:pPr>
        <w:pStyle w:val="[Normal]"/>
        <w:spacing w:line="360" w:lineRule="auto"/>
        <w:ind w:firstLine="1134"/>
        <w:jc w:val="both"/>
        <w:rPr>
          <w:lang w:val="es-AR" w:eastAsia="es-AR" w:bidi="es-AR"/>
        </w:rPr>
      </w:pPr>
      <w:r>
        <w:rPr>
          <w:lang w:val="es-AR" w:eastAsia="es-AR" w:bidi="es-AR"/>
        </w:rPr>
        <w:t xml:space="preserve">Allí expresé que "Coincido con aquella postura jurisprudencial que pregona que la falta de licencia sólo puede ser ajena a la estructura causal del siniestro en la medida que se demuestre que el infractor poseía idoneidad suficiente, esto es, las habilidades normales para conducir este tipo de vehículos.  Y ello es así dado que es evidente que una persona que no sepa conducir debidamente aumentará en forma notable la probabilidad de ocurrencia del siniestro.  La idoneidad es requerida con carácter de exigencia básica, aprovechando la evaluación que hace la autoridad administrativa a quien se ha delegado la habilitación.  Resulta ciertamente censurable la conducta de aquel que decide sustraerse del poder de policía provincial en la asignación de permisos para circular: el agente elude la evaluación de conocimientos mínimos de las normas de tránsito y de habilidad técnica para conducir un vehículo. Se trata de una actitud torpe y temeraria dado que el agente asume un riesgo grave para si mismo, pero también es una actitud sustancialmente egoísta, porque unilateral e ilegítimamente pone en riesgo a terceros" CC0102 MP 163694 6/09/2017 Juez Monterisi. Claramente un menor de 14 años al volante de un ciclomotor tiene la presunción de a falta de habilidad de conducir cualquier rodado que genere potencial peligro. </w:t>
      </w:r>
    </w:p>
    <w:p>
      <w:pPr>
        <w:pStyle w:val="[Normal]"/>
        <w:spacing w:line="360" w:lineRule="auto"/>
        <w:ind w:firstLine="1134"/>
        <w:jc w:val="both"/>
        <w:rPr>
          <w:lang w:val="es-AR" w:eastAsia="es-AR" w:bidi="es-AR"/>
        </w:rPr>
      </w:pPr>
      <w:r>
        <w:rPr>
          <w:lang w:val="es-AR" w:eastAsia="es-AR" w:bidi="es-AR"/>
        </w:rPr>
        <w:t xml:space="preserve">Demuestra además un desapego por el cumplimiento de la ley que no puede ser ignorado, en tanto claramente los arts. 39 y 40 de la ley 13.927 y sus complementarias 24.449 y 26.363 establecen las condiciones para conducir y los requisitos para circular, previendo el inc. a) del art. 40 que el primordial requisito de la circulación es que "su conductor esté habilitado para conducir ese tipo de vehículo y que lleve consigo la licencia correspondiente", b) que porte la cédula de identificación del mismo, c) que lleve el comprobante de seguro, al que refiere el art. 68". Estos presupuestos no fueron cumplidos por quien protagonizó el accidente.</w:t>
      </w:r>
    </w:p>
    <w:p>
      <w:pPr>
        <w:pStyle w:val="[Normal]"/>
        <w:spacing w:line="360" w:lineRule="auto"/>
        <w:ind w:firstLine="1134"/>
        <w:jc w:val="both"/>
        <w:rPr>
          <w:lang w:val="es-AR" w:eastAsia="es-AR" w:bidi="es-AR"/>
        </w:rPr>
      </w:pPr>
      <w:r>
        <w:rPr>
          <w:lang w:val="es-AR" w:eastAsia="es-AR" w:bidi="es-AR"/>
        </w:rPr>
        <w:t xml:space="preserve">A todo esto se suma la acreditación de omisión de uso de casco reglamentario por parte del actor que también ha de evaluarse negativamente.  Reiteradamente la Corte ha declarado que desconocer las circunstancias relevantes de la causa, haciendo mérito de una deficiente introducción de la cuestión, equivale tanto como a una renuncia de la verdad jurídica objetiva, incompatible con el servicio de la justicia..."  (doctrina de Fallos: 302:358; 303:1646; 304:1698).</w:t>
      </w:r>
    </w:p>
    <w:p>
      <w:pPr>
        <w:pStyle w:val="[Normal]"/>
        <w:spacing w:line="360" w:lineRule="auto"/>
        <w:ind w:firstLine="1134"/>
        <w:jc w:val="both"/>
        <w:rPr>
          <w:lang w:val="es-AR" w:eastAsia="es-AR" w:bidi="es-AR"/>
        </w:rPr>
      </w:pPr>
      <w:r>
        <w:rPr>
          <w:lang w:val="es-AR" w:eastAsia="es-AR" w:bidi="es-AR"/>
        </w:rPr>
        <w:t xml:space="preserve">Entonces lo concreto es que el actor, al momento del evento dañoso, circulaba en violación de la ley de Tránsito que impone a todo conductor de la motocicleta llevar colocado el casco reglamentario como su acompañante (art. 40 inc. j de la Ley de Tránsito).</w:t>
      </w:r>
    </w:p>
    <w:p>
      <w:pPr>
        <w:pStyle w:val="[Normal]"/>
        <w:spacing w:line="360" w:lineRule="auto"/>
        <w:ind w:firstLine="1134"/>
        <w:jc w:val="both"/>
        <w:rPr>
          <w:lang w:val="es-AR" w:eastAsia="es-AR" w:bidi="es-AR"/>
        </w:rPr>
      </w:pPr>
      <w:r>
        <w:rPr>
          <w:lang w:val="es-AR" w:eastAsia="es-AR" w:bidi="es-AR"/>
        </w:rPr>
        <w:t xml:space="preserve">Si bien es cierto que su ausencia no es la única causa adecuada del accidente, no puede permanecer indiferente para el derecho que el conductor omita el uso de un dispositivo como el casco que está previsto como obligatorio en la ley, y esa conducta omisiva no puede dispensarse.</w:t>
      </w:r>
    </w:p>
    <w:p>
      <w:pPr>
        <w:pStyle w:val="[Normal]"/>
        <w:spacing w:line="360" w:lineRule="auto"/>
        <w:ind w:firstLine="1134"/>
        <w:jc w:val="both"/>
        <w:rPr>
          <w:lang w:val="es-AR" w:eastAsia="es-AR" w:bidi="es-AR"/>
        </w:rPr>
      </w:pPr>
      <w:r>
        <w:rPr>
          <w:lang w:val="es-AR" w:eastAsia="es-AR" w:bidi="es-AR"/>
        </w:rPr>
        <w:t xml:space="preserve">El conjunto de las infracciones y vulneraciones a la Ley Nacional de Tránsito sin duda muestran un desapego por el principio de legalidad que no puede permanecer indiferente para este proceso, lo que trae como consecuencia un aporte causal relevante por el actor que ha incidido en la consecuencia dañosa en un 45%.</w:t>
      </w:r>
    </w:p>
    <w:p>
      <w:pPr>
        <w:pStyle w:val="[Normal]"/>
        <w:spacing w:line="360" w:lineRule="auto"/>
        <w:ind w:firstLine="1134"/>
        <w:jc w:val="both"/>
        <w:rPr>
          <w:lang w:val="es-AR" w:eastAsia="es-AR" w:bidi="es-AR"/>
        </w:rPr>
      </w:pPr>
      <w:r>
        <w:rPr>
          <w:lang w:val="es-AR" w:eastAsia="es-AR" w:bidi="es-AR"/>
        </w:rPr>
        <w:t xml:space="preserve">Y por si fuera poco las condiciones en las que circulaba la moto, bien descripta en la causa penal y con toda la prueba mencionada, donde quedó demostrado que la moto de Rivarola sufrió un desperfecto, y que fue empujado por un amigo Rodriguez apoyando este último su pie en el pedalin trasero de aquel.  Que después de esta secuencia cuando ya se habían separado, quedando adelante Rivarola alejado de Rodriguez, es cuando el vehículo conducido por el demandado Brun lo sobrepasa e impacta con el frente izquierdo del vehículo en la rueda trasera de Rivarola, provocándose el accidente de marras.</w:t>
      </w:r>
    </w:p>
    <w:p>
      <w:pPr>
        <w:pStyle w:val="[Normal]"/>
        <w:spacing w:line="360" w:lineRule="auto"/>
        <w:ind w:firstLine="1134"/>
        <w:jc w:val="both"/>
        <w:rPr>
          <w:lang w:val="es-AR" w:eastAsia="es-AR" w:bidi="es-AR"/>
        </w:rPr>
      </w:pPr>
      <w:r>
        <w:rPr>
          <w:lang w:val="es-AR" w:eastAsia="es-AR" w:bidi="es-AR"/>
        </w:rPr>
        <w:t xml:space="preserve">Viene también a reforzar la hipótesis de una causalidad concurrente la pericia analizada por el juez de grado conforme las reglas del art. 384, 386 y 474 del CPCC y su doctrina, confirmando la atribución y reparto dado por el juez de primera instancia.</w:t>
      </w:r>
    </w:p>
    <w:p>
      <w:pPr>
        <w:pStyle w:val="[Normal]"/>
        <w:spacing w:line="360" w:lineRule="auto"/>
        <w:ind w:firstLine="1134"/>
        <w:jc w:val="both"/>
        <w:rPr>
          <w:lang w:val="es-AR" w:eastAsia="es-AR" w:bidi="es-AR"/>
        </w:rPr>
      </w:pPr>
      <w:r>
        <w:rPr>
          <w:b/>
          <w:lang w:val="es-AR" w:eastAsia="es-AR" w:bidi="es-AR"/>
        </w:rPr>
        <w:t xml:space="preserve">VII).- </w:t>
      </w:r>
      <w:r>
        <w:rPr>
          <w:lang w:val="es-AR" w:eastAsia="es-AR" w:bidi="es-AR"/>
        </w:rPr>
        <w:t xml:space="preserve">Plazo del art. 56 Ley de Seguros: Defensa de no seguro y exclusión de cobertura: Con respecto a la defensa de no seguro y exclusión de cobertura recepcionada en el decisorio de grado, el apelante aduce que en ocasión de correrse traslado de dichas defensas no se dio cumplimiento al recaudo impuesto en el art. 56 de la ley 17.418, señalando que la aseguradora en su misiva, ofrecida como prueba documental, remitida en forma extemporánea, sujeta su conducta a los términos de dicho precepto para recién en marzo de 2021 expedirse sobre le rechazo del siniestro.  De todo lo cual el quejoso extrae que la citada en garantía con su comportamiento reconoció que se encontraba en la obligación de expedirse sobre la aceptación o no del siniestro y la segunda que ello lo llevó a cabo en forma extemporánea.</w:t>
      </w:r>
    </w:p>
    <w:p>
      <w:pPr>
        <w:pStyle w:val="[Normal]"/>
        <w:spacing w:line="360" w:lineRule="auto"/>
        <w:ind w:firstLine="1134"/>
        <w:jc w:val="both"/>
        <w:rPr>
          <w:lang w:val="es-AR" w:eastAsia="es-AR" w:bidi="es-AR"/>
        </w:rPr>
      </w:pPr>
      <w:r>
        <w:rPr>
          <w:lang w:val="es-AR" w:eastAsia="es-AR" w:bidi="es-AR"/>
        </w:rPr>
        <w:t xml:space="preserve">El juez de grado hizo lugar a la defensa de no seguro, exclusión de cobertura y falta de legitimación pasiva opuesta por la aseguradora alegando que si bien el demandado de autos Leonardo Gonzalez Brun tenía contratada póliza de seguro de vehículo automotor Nro. 50.802.147 con vigencia desde las 12 hs. del día 13/09/2020 hasta las 12 hs. del día 13/03/2021 sobre su rodado marca VW Gol 1,6 dominio MUX 646 interviniente en el accidente de tránsito que aquí se ventila.  El operador de grado recibe la postura de la citada en garantía quien invoca que el conductor del vehículo, tomador y asegurado circulaba con 1,54 g/lt de alcohol en sangre al momento del siniestro conforme examen toxicológico acreditado en la causa penal y que en base a ello se encuentra prevista como causal de exclusión en la clausula CG-DA 2.1 y que esa situación verificada provoca en el asegurado una pérdida del derecho a la garantía, lo que se llama en doctrina un caso de "no seguro".</w:t>
      </w:r>
    </w:p>
    <w:p>
      <w:pPr>
        <w:pStyle w:val="[Normal]"/>
        <w:spacing w:line="360" w:lineRule="auto"/>
        <w:ind w:firstLine="1134"/>
        <w:jc w:val="both"/>
        <w:rPr>
          <w:lang w:val="es-AR" w:eastAsia="es-AR" w:bidi="es-AR"/>
        </w:rPr>
      </w:pPr>
      <w:r>
        <w:rPr>
          <w:lang w:val="es-AR" w:eastAsia="es-AR" w:bidi="es-AR"/>
        </w:rPr>
        <w:t xml:space="preserve">Se trajo aquí el incumplimiento del plazo del art. 56 LS que prevé "El asegurador debe pronunciarse acerca del derecho del asegurado dentro de los treinta días de recibida la información complementaria prevista en los párrafos 2º y 3º del artículo 46. La omisión de pronunciarse importa aceptación".</w:t>
      </w:r>
    </w:p>
    <w:p>
      <w:pPr>
        <w:pStyle w:val="[Normal]"/>
        <w:spacing w:line="360" w:lineRule="auto"/>
        <w:ind w:firstLine="1134"/>
        <w:jc w:val="both"/>
        <w:rPr>
          <w:lang w:val="es-AR" w:eastAsia="es-AR" w:bidi="es-AR"/>
        </w:rPr>
      </w:pPr>
      <w:r>
        <w:rPr>
          <w:lang w:val="es-AR" w:eastAsia="es-AR" w:bidi="es-AR"/>
        </w:rPr>
        <w:t xml:space="preserve">En este sentido ha resuelto nuestro Máximo Tribunal de Provincia que: “Una vez denunciado el siniestro, la aseguradora debe pronunciarse acerca del derecho que le asiste al asegurado (arts. 46 y 56, ley 17.418) dentro del plazo de treinta días de recibida la denuncia o la información complementaria. La omisión de tal comunicación importa la aceptación del siniestro e impide luego invocar en juicio circunstancias que obstaculicen el derecho del asegurado. Aquel debe notificarse en el domicilio declarado en el contrato de seguro (art. 16, ley 17.418), a través del envío de una carta documento o bien un acta notarial (por ejemplo), que den constancia de la "recepción" por el asegurado.” (SCBA, C 116847 S 04/03/2015; esta Sala III, “Locaso, Carla c/ Menéndez, Julio Alberto y otro s/ Daños y Perjuicios” – Expte.N°148.792, sent. del 29/02/2012).</w:t>
      </w:r>
    </w:p>
    <w:p>
      <w:pPr>
        <w:pStyle w:val="[Normal]"/>
        <w:spacing w:line="360" w:lineRule="auto"/>
        <w:ind w:firstLine="1134"/>
        <w:jc w:val="both"/>
        <w:rPr>
          <w:lang w:val="es-AR" w:eastAsia="es-AR" w:bidi="es-AR"/>
        </w:rPr>
      </w:pPr>
      <w:r>
        <w:rPr>
          <w:lang w:val="es-AR" w:eastAsia="es-AR" w:bidi="es-AR"/>
        </w:rPr>
        <w:t xml:space="preserve">La jurisprudencia provincial también tiene decidido que: “…vencido dicho plazo y no habiendo formulado el asegurador pronunciamiento alguno, su silencio importa aceptación conforme la última parte del art. 56 de la ley 17.418, tratándose de una carga del asegurador que debe ejercitarse en forma perentoria y cuya inobservancia importa un reconocimiento del aludido derecho y la imposibilidad de allí en más de invocar defensas. En otras palabras, vencido el plazo de treinta días sin que la aseguradora haya hecho saber el rechazo de su responsabilidad, incurre en mora conforme los arts. 56 y 15 de la LS, lo que implica la aceptación tácita de la garantía comprometida y la imposibilidad de alegar cualquier defensa, aunque la misma se encuentre justificada, que obste el cumplimiento de la obligación principal.” (CC0100 SN 11801 S 20/10/2015). </w:t>
      </w:r>
    </w:p>
    <w:p>
      <w:pPr>
        <w:pStyle w:val="[Normal]"/>
        <w:spacing w:line="360" w:lineRule="auto"/>
        <w:ind w:firstLine="1134"/>
        <w:jc w:val="both"/>
        <w:rPr>
          <w:lang w:val="es-AR" w:eastAsia="es-AR" w:bidi="es-AR"/>
        </w:rPr>
      </w:pPr>
      <w:r>
        <w:rPr>
          <w:lang w:val="es-AR" w:eastAsia="es-AR" w:bidi="es-AR"/>
        </w:rPr>
        <w:t xml:space="preserve">Ha de conjugarse este principio con las constancias de esta causa.</w:t>
      </w:r>
    </w:p>
    <w:p>
      <w:pPr>
        <w:pStyle w:val="[Normal]"/>
        <w:spacing w:line="360" w:lineRule="auto"/>
        <w:ind w:firstLine="1134"/>
        <w:jc w:val="both"/>
        <w:rPr>
          <w:lang w:val="es-AR" w:eastAsia="es-AR" w:bidi="es-AR"/>
        </w:rPr>
      </w:pPr>
      <w:r>
        <w:rPr>
          <w:lang w:val="es-AR" w:eastAsia="es-AR" w:bidi="es-AR"/>
        </w:rPr>
        <w:t xml:space="preserve">Para ello se analizan  los siguientes puntos: el juez de grado tuvo por vigente la póliza al momento del siniestro ocurrido el 12/12/2020; dicha póliza tenía vigencia desde las 12 hs. del día 13/09/2020 hasta las 12 hs. del día 13/03/2021 sobre el rodado VW Gol 1,6, Dominio MUX 646, contemplándose en la clausula CG-DA 2.1 de la póliza como una de las causales de exclusión de cobertura la alcoholemia positiva  así como de las condiciones generales en virtud de lo normado por la Superintendencia de Seguros de la Nación.  Esto fue acreditado en forma fehaciente en la causa penal con el examen agregado en la IPP Nro. 7022/2020 donde se comprobó que Leonardo Gonzalez Brun conducía bajo los efectos de un resultado positivo de alcohol al momento del accidente.</w:t>
      </w:r>
    </w:p>
    <w:p>
      <w:pPr>
        <w:pStyle w:val="[Normal]"/>
        <w:spacing w:line="360" w:lineRule="auto"/>
        <w:ind w:firstLine="1134"/>
        <w:jc w:val="both"/>
        <w:rPr>
          <w:lang w:val="es-AR" w:eastAsia="es-AR" w:bidi="es-AR"/>
        </w:rPr>
      </w:pPr>
      <w:r>
        <w:rPr>
          <w:lang w:val="es-AR" w:eastAsia="es-AR" w:bidi="es-AR"/>
        </w:rPr>
        <w:t xml:space="preserve">De la prueba documental producida obrante en autos surge: 1) una carta documento remitida el 20/01/2021 por la Compañía de Seguros La Segunda a Leonardo Gonzalez Brun donde le intima a proveerle del relato pormenorizado del accidente y la información complementaria que allí se describe, señalando que suspende la aceptación del siniestro y cualquier responsabilidad hasta se le provea la información y documentación solicitada. Consta recepción el día 21/01/2021. 2) Luego figura una carta documento del 12 de marzo de 2021 remitida por La Segunda que alude a un siniestro acontecido el 9/03/2019 y que no tiene que ver con la fecha del que aquí se investiga. 3) Luego luce agregada una carta documento del 23 de marzo de 2021 donde se alude al resultado de las pericias de alcoholemia y se rechaza formalmente el siniestro, recepcionada el 26 de marzo del mismo año.</w:t>
      </w:r>
    </w:p>
    <w:p>
      <w:pPr>
        <w:pStyle w:val="[Normal]"/>
        <w:spacing w:line="360" w:lineRule="auto"/>
        <w:ind w:firstLine="1134"/>
        <w:jc w:val="both"/>
        <w:rPr>
          <w:lang w:val="es-AR" w:eastAsia="es-AR" w:bidi="es-AR"/>
        </w:rPr>
      </w:pPr>
      <w:r>
        <w:rPr>
          <w:lang w:val="es-AR" w:eastAsia="es-AR" w:bidi="es-AR"/>
        </w:rPr>
        <w:t xml:space="preserve">Como sea el plazo del art. 56 de la Ley de Seguros no fue cumplido en tiempo la Aseguradora ni en la primera comunicación cuando pide información complementaria ni en la del 23 de marzo cuando rechaza formalmente la cobertura.</w:t>
      </w:r>
    </w:p>
    <w:p>
      <w:pPr>
        <w:pStyle w:val="[Normal]"/>
        <w:spacing w:line="360" w:lineRule="auto"/>
        <w:ind w:firstLine="1134"/>
        <w:jc w:val="both"/>
        <w:rPr>
          <w:lang w:val="es-AR" w:eastAsia="es-AR" w:bidi="es-AR"/>
        </w:rPr>
      </w:pPr>
      <w:r>
        <w:rPr>
          <w:lang w:val="es-AR" w:eastAsia="es-AR" w:bidi="es-AR"/>
        </w:rPr>
        <w:t xml:space="preserve">Es decir que hubo una omisión de un deber legal de expedirse de la aseguradora en el plazo previsto por la norma citada.</w:t>
      </w:r>
    </w:p>
    <w:p>
      <w:pPr>
        <w:pStyle w:val="[Normal]"/>
        <w:spacing w:line="360" w:lineRule="auto"/>
        <w:ind w:firstLine="1134"/>
        <w:jc w:val="both"/>
        <w:rPr>
          <w:lang w:val="es-AR" w:eastAsia="es-AR" w:bidi="es-AR"/>
        </w:rPr>
      </w:pPr>
      <w:r>
        <w:rPr>
          <w:lang w:val="es-AR" w:eastAsia="es-AR" w:bidi="es-AR"/>
        </w:rPr>
        <w:t xml:space="preserve">Y no concuerdo con la postura del juez de grado ni la sostenida en el escrito de responde por el apoderado de la compañía, que aluden a la alcoholemia como una inexistencia de contrato que anularía o borraría la obligación legal de expedirse acerca del rechazo del siniestro haciendo caducar esa circunstancia el plazo previsto por la ley.</w:t>
      </w:r>
    </w:p>
    <w:p>
      <w:pPr>
        <w:pStyle w:val="[Normal]"/>
        <w:spacing w:line="360" w:lineRule="auto"/>
        <w:ind w:firstLine="1134"/>
        <w:jc w:val="both"/>
        <w:rPr>
          <w:lang w:val="es-AR" w:eastAsia="es-AR" w:bidi="es-AR"/>
        </w:rPr>
      </w:pPr>
      <w:r>
        <w:rPr>
          <w:lang w:val="es-AR" w:eastAsia="es-AR" w:bidi="es-AR"/>
        </w:rPr>
        <w:t xml:space="preserve">No concuerdo con esa postura, que debo decir ha sido discutida ampliamente en doctrina.</w:t>
      </w:r>
    </w:p>
    <w:p>
      <w:pPr>
        <w:pStyle w:val="[Normal]"/>
        <w:spacing w:line="360" w:lineRule="auto"/>
        <w:ind w:firstLine="1134"/>
        <w:jc w:val="both"/>
        <w:rPr>
          <w:lang w:val="es-AR" w:eastAsia="es-AR" w:bidi="es-AR"/>
        </w:rPr>
      </w:pPr>
      <w:r>
        <w:rPr>
          <w:lang w:val="es-AR" w:eastAsia="es-AR" w:bidi="es-AR"/>
        </w:rPr>
        <w:t xml:space="preserve">Para ello sigo el precedente STJ, Sala A, 26/07/2021. “NOVARETTI, Ana María y otros c/VILLALO Ariel Darío y otros s/Daños y Perjuicios”, Expte. nº 1944/20 http://www.juslapampa.gob.ar/jurisprudencia/Home/detalle/32883.</w:t>
      </w:r>
    </w:p>
    <w:p>
      <w:pPr>
        <w:pStyle w:val="[Normal]"/>
        <w:spacing w:line="360" w:lineRule="auto"/>
        <w:ind w:firstLine="1134"/>
        <w:jc w:val="both"/>
        <w:rPr>
          <w:lang w:val="es-AR" w:eastAsia="es-AR" w:bidi="es-AR"/>
        </w:rPr>
      </w:pPr>
      <w:r>
        <w:rPr>
          <w:lang w:val="es-AR" w:eastAsia="es-AR" w:bidi="es-AR"/>
        </w:rPr>
        <w:t xml:space="preserve">"En el caso -demanda por daños y perjuicios sufridos a raíz de un accidente de tránsito- la compañía aseguradora, opuso la excepción de cobertura, fundada en la culpa grave del asegurado en la provocación del siniestro, por conducir en estado de ebriedad, pero lo hizo fuera del término impuesto por el art. 56 de la ley de seguros, bajo apercibimiento de importar aceptación del derecho.</w:t>
      </w:r>
    </w:p>
    <w:p>
      <w:pPr>
        <w:pStyle w:val="[Normal]"/>
        <w:spacing w:line="360" w:lineRule="auto"/>
        <w:ind w:firstLine="1134"/>
        <w:jc w:val="both"/>
        <w:rPr>
          <w:lang w:val="es-AR" w:eastAsia="es-AR" w:bidi="es-AR"/>
        </w:rPr>
      </w:pPr>
      <w:r>
        <w:rPr>
          <w:lang w:val="es-AR" w:eastAsia="es-AR" w:bidi="es-AR"/>
        </w:rPr>
        <w:t xml:space="preserve">La cuestión central que se discutió fue si el deber que el artículo 56 de la Ley de Seguros impone a la aseguradora para que, ante la denuncia de un siniestro, se expida por la aceptación o rechazo de la cobertura en el plazo de 30 días de recibida la información complementaria (artículo 46), es aplicable cuando existe una exclusión de cobertura legal o convencional.</w:t>
      </w:r>
    </w:p>
    <w:p>
      <w:pPr>
        <w:pStyle w:val="[Normal]"/>
        <w:spacing w:line="360" w:lineRule="auto"/>
        <w:ind w:firstLine="1134"/>
        <w:jc w:val="both"/>
        <w:rPr>
          <w:lang w:val="es-AR" w:eastAsia="es-AR" w:bidi="es-AR"/>
        </w:rPr>
      </w:pPr>
      <w:r>
        <w:rPr>
          <w:lang w:val="es-AR" w:eastAsia="es-AR" w:bidi="es-AR"/>
        </w:rPr>
        <w:t xml:space="preserve">El Superior Tribunal de Justicia resolvió que, ante la denuncia de un siniestro, la aseguradora siempre debe pronunciarse acerca del derecho que le asiste al asegurado, dentro del plazo legal, aún cuando su negativa o rechazo se funde en causales de exclusión de las coberturas legales, como la culpa grave, respondiendo esta solución al deber de información que debe suministrarse al tomador del seguro, en su carácter de consumidor.</w:t>
      </w:r>
    </w:p>
    <w:p>
      <w:pPr>
        <w:pStyle w:val="[Normal]"/>
        <w:spacing w:line="360" w:lineRule="auto"/>
        <w:ind w:firstLine="1134"/>
        <w:jc w:val="both"/>
        <w:rPr>
          <w:lang w:val="es-AR" w:eastAsia="es-AR" w:bidi="es-AR"/>
        </w:rPr>
      </w:pPr>
      <w:r>
        <w:rPr>
          <w:lang w:val="es-AR" w:eastAsia="es-AR" w:bidi="es-AR"/>
        </w:rPr>
        <w:t xml:space="preserve">Asimismo el tribunal aclaró que, en aquellos casos donde no se requiera información complementaria, el plazo de treinta días otorgado para que la aseguradora se pronuncie, comienza a computarse a partir de la fecha que se recibió la denuncia del siniestro".</w:t>
      </w:r>
    </w:p>
    <w:p>
      <w:pPr>
        <w:pStyle w:val="[Normal]"/>
        <w:spacing w:line="360" w:lineRule="auto"/>
        <w:ind w:firstLine="1134"/>
        <w:jc w:val="both"/>
        <w:rPr>
          <w:lang w:val="es-AR" w:eastAsia="es-AR" w:bidi="es-AR"/>
        </w:rPr>
      </w:pPr>
      <w:r>
        <w:rPr>
          <w:lang w:val="es-AR" w:eastAsia="es-AR" w:bidi="es-AR"/>
        </w:rPr>
        <w:t xml:space="preserve">La postura más difundida en doctrina y jurisprudencia se inclina por la vigencia de la carga establecida en la norma sin importar cuál sea la causa que funda el rechazo del siniestro. Entonces, cualquiera sea la razón por la que el asegurador declina su responsabilidad, la manifestación del rechazo deberá realizarse dentro del plazo legal. Ello incluso, cuando el asegurador sustentase su negativa en causales de exclusión de las coberturas legales, como la culpa grave.</w:t>
      </w:r>
    </w:p>
    <w:p>
      <w:pPr>
        <w:pStyle w:val="[Normal]"/>
        <w:spacing w:line="360" w:lineRule="auto"/>
        <w:ind w:firstLine="1134"/>
        <w:jc w:val="both"/>
        <w:rPr>
          <w:lang w:val="es-AR" w:eastAsia="es-AR" w:bidi="es-AR"/>
        </w:rPr>
      </w:pPr>
      <w:r>
        <w:rPr>
          <w:lang w:val="es-AR" w:eastAsia="es-AR" w:bidi="es-AR"/>
        </w:rPr>
        <w:t xml:space="preserve">El destacado autor Rubén Stiglitz propicia esta interpretación sosteniendo que no constituye excepción al deber de pronunciarse el siniestro denunciado por el asegurado y que el asegurador considera que se halla, expresa o tácitamente, excluido de cobertura. Si así no fuera, el artículo 56 de la Ley de Seguros carecería de función, ya que si el asegurador se hallara liberado de pronunciarse adversamente con relación a los siniestros excluidos, cabe preguntarse qué sentido tendría pronunciarse sobre los incluidos, ya que bastaría con guardar silencio (art. 56, in fine) (Rubén S. Stiglitz. Derecho de Seguros, 5ta. Edición actualizada y ampliada, T.II, La Ley, págs.291/292).</w:t>
      </w:r>
    </w:p>
    <w:p>
      <w:pPr>
        <w:pStyle w:val="[Normal]"/>
        <w:spacing w:line="360" w:lineRule="auto"/>
        <w:ind w:firstLine="1134"/>
        <w:jc w:val="both"/>
        <w:rPr>
          <w:lang w:val="es-AR" w:eastAsia="es-AR" w:bidi="es-AR"/>
        </w:rPr>
      </w:pPr>
      <w:r>
        <w:rPr>
          <w:lang w:val="es-AR" w:eastAsia="es-AR" w:bidi="es-AR"/>
        </w:rPr>
        <w:t xml:space="preserve">Y aquí propongo recibir esta posición: no importa que la causa de declinación estuviera motivada en la alcoholemia positiva verificada en el asegurado; porque esta causal y cualquier otra no relevaba a la aseguradora de cumplir con el plazo previsto en el art. 56 de la LS, lo que no hizo.</w:t>
      </w:r>
    </w:p>
    <w:p>
      <w:pPr>
        <w:pStyle w:val="[Normal]"/>
        <w:spacing w:line="360" w:lineRule="auto"/>
        <w:ind w:firstLine="1134"/>
        <w:jc w:val="both"/>
        <w:rPr>
          <w:lang w:val="es-AR" w:eastAsia="es-AR" w:bidi="es-AR"/>
        </w:rPr>
      </w:pPr>
      <w:r>
        <w:rPr>
          <w:lang w:val="es-AR" w:eastAsia="es-AR" w:bidi="es-AR"/>
        </w:rPr>
        <w:t xml:space="preserve">No hay una causal legal o convencional que exonere del cumplimiento del plazo previsto, como parece motivar el juez de grado cuando acude a la alcoholemia como inexistencia del contrato de seguro, posición a la que adhiere el apoderado de la citada en garantía en su responde para mantener incólume esa porción que le favorece.</w:t>
      </w:r>
    </w:p>
    <w:p>
      <w:pPr>
        <w:pStyle w:val="[Normal]"/>
        <w:spacing w:line="360" w:lineRule="auto"/>
        <w:ind w:firstLine="1134"/>
        <w:jc w:val="both"/>
        <w:rPr>
          <w:lang w:val="es-AR" w:eastAsia="es-AR" w:bidi="es-AR"/>
        </w:rPr>
      </w:pPr>
      <w:r>
        <w:rPr>
          <w:lang w:val="es-AR" w:eastAsia="es-AR" w:bidi="es-AR"/>
        </w:rPr>
        <w:t xml:space="preserve">El deber legal es para todos.</w:t>
      </w:r>
    </w:p>
    <w:p>
      <w:pPr>
        <w:pStyle w:val="[Normal]"/>
        <w:spacing w:line="360" w:lineRule="auto"/>
        <w:ind w:firstLine="1134"/>
        <w:jc w:val="both"/>
        <w:rPr>
          <w:lang w:val="es-AR" w:eastAsia="es-AR" w:bidi="es-AR"/>
        </w:rPr>
      </w:pPr>
      <w:r>
        <w:rPr>
          <w:lang w:val="es-AR" w:eastAsia="es-AR" w:bidi="es-AR"/>
        </w:rPr>
        <w:t xml:space="preserve">Así como la falta de pago de la póliza permite a la aseguradora la exclusión de cobertura de un asegurado, la misma rigurosidad ha de aplicarse para la compañía cuando frente al deber de responder en tiempo y forma, no lo hace.  El silencio o la falta de contestación en un plazo legal establecido acarrea consecuencias negativas como en el caso, y ha de responderse por ello. (art. 56 ley de Seguros).</w:t>
      </w:r>
    </w:p>
    <w:p>
      <w:pPr>
        <w:pStyle w:val="[Normal]"/>
        <w:spacing w:line="360" w:lineRule="auto"/>
        <w:ind w:firstLine="1134"/>
        <w:jc w:val="both"/>
        <w:rPr>
          <w:lang w:val="es-AR" w:eastAsia="es-AR" w:bidi="es-AR"/>
        </w:rPr>
      </w:pPr>
      <w:r>
        <w:rPr>
          <w:lang w:val="es-AR" w:eastAsia="es-AR" w:bidi="es-AR"/>
        </w:rPr>
        <w:t xml:space="preserve">Plazo del asegurador para pronunciarse: 30 días corridos, desde que recibe la información complementaria del siniestro.</w:t>
      </w:r>
    </w:p>
    <w:p>
      <w:pPr>
        <w:pStyle w:val="[Normal]"/>
        <w:spacing w:line="360" w:lineRule="auto"/>
        <w:ind w:firstLine="1134"/>
        <w:jc w:val="both"/>
        <w:rPr>
          <w:lang w:val="es-AR" w:eastAsia="es-AR" w:bidi="es-AR"/>
        </w:rPr>
      </w:pPr>
      <w:r>
        <w:rPr>
          <w:lang w:val="es-AR" w:eastAsia="es-AR" w:bidi="es-AR"/>
        </w:rPr>
        <w:t xml:space="preserve">Consecuencia del silencio: Si la aseguradora no se pronuncia dentro de ese plazo, se considera que ha aceptado el siniestro.</w:t>
      </w:r>
    </w:p>
    <w:p>
      <w:pPr>
        <w:pStyle w:val="[Normal]"/>
        <w:spacing w:line="360" w:lineRule="auto"/>
        <w:ind w:firstLine="1134"/>
        <w:jc w:val="both"/>
        <w:rPr>
          <w:lang w:val="es-AR" w:eastAsia="es-AR" w:bidi="es-AR"/>
        </w:rPr>
      </w:pPr>
      <w:r>
        <w:rPr>
          <w:lang w:val="es-AR" w:eastAsia="es-AR" w:bidi="es-AR"/>
        </w:rPr>
        <w:t xml:space="preserve">El plazo comienza a correr desde que el asegurador recibe la información complementaria; si no requiere información adicional, el plazo comienza desde la denuncia del siniestro. </w:t>
      </w:r>
    </w:p>
    <w:p>
      <w:pPr>
        <w:pStyle w:val="[Normal]"/>
        <w:spacing w:line="360" w:lineRule="auto"/>
        <w:ind w:firstLine="1134"/>
        <w:jc w:val="both"/>
        <w:rPr>
          <w:lang w:val="es-AR" w:eastAsia="es-AR" w:bidi="es-AR"/>
        </w:rPr>
      </w:pPr>
      <w:r>
        <w:rPr>
          <w:lang w:val="es-AR" w:eastAsia="es-AR" w:bidi="es-AR"/>
        </w:rPr>
        <w:t xml:space="preserve">Por lo tanto la Aseguradora deberá afrontar el resultado dañoso en la medida del seguro contratado.  Propongo entonces revocar la sentencia en este punto.</w:t>
      </w:r>
    </w:p>
    <w:p>
      <w:pPr>
        <w:pStyle w:val="[Normal]"/>
        <w:spacing w:line="360" w:lineRule="auto"/>
        <w:ind w:firstLine="1134"/>
        <w:jc w:val="both"/>
        <w:rPr>
          <w:lang w:val="es-AR" w:eastAsia="es-AR" w:bidi="es-AR"/>
        </w:rPr>
      </w:pPr>
      <w:r>
        <w:rPr>
          <w:b/>
          <w:lang w:val="es-AR" w:eastAsia="es-AR" w:bidi="es-AR"/>
        </w:rPr>
        <w:t xml:space="preserve">VIII) Rubros y su cuantificación: </w:t>
      </w:r>
      <w:r>
        <w:rPr>
          <w:lang w:val="es-AR" w:eastAsia="es-AR" w:bidi="es-AR"/>
        </w:rPr>
        <w:t xml:space="preserve">Respecto de los agravios que vienen  sentados sobre los rubros y su cuantificación y límites en 65 años. En relación a la variable de la edad no voy a atender el agravio desplegado por la quejosa, en tanto se ha dicho en reiterados precedentes de este Tribunal que corresponde computar la edad laboral inicial a partir de los 18 años de edad, por cuanto no hay indicio alguno que permita presumir que la víctima pudiera haber comenzado a trabajar con antelación a su mayoría de edad. Y el límite final de la edad laboral de la víctima habrá de quedar establecido en 65 años, coincidiendo ello con el parámetro de la edad jubilatoria. Si bien este Tribunal ha admitido la prolongación de la edad laboral útil más allá del término inicial del etapa jubilatoria, ello ha sido así cuando obran además elementos concretos relacionados con la situación particular del damnificado que permitan suponer con un grado aceptable de razonabilidad la prolongación del término mencionado. Así, por ejemplo, en la causa "Plaich", esta Cámara hizo mérito de la referida extensión temporal de la edad laboral útil, pero para ello no se apoyó en referencias abstractas o genéricas, sino que lo hizo con base en las concretas probanzas recolectadas. No se advierte que este sea un caso que permita excepcionar esa regla general ya aplicada o que se hayan traído probanzas que permitan extenderla.</w:t>
      </w:r>
    </w:p>
    <w:p>
      <w:pPr>
        <w:pStyle w:val="[Normal]"/>
        <w:spacing w:line="360" w:lineRule="auto"/>
        <w:ind w:firstLine="1134"/>
        <w:jc w:val="both"/>
        <w:rPr>
          <w:lang w:val="es-AR" w:eastAsia="es-AR" w:bidi="es-AR"/>
        </w:rPr>
      </w:pPr>
      <w:r>
        <w:rPr>
          <w:lang w:val="es-AR" w:eastAsia="es-AR" w:bidi="es-AR"/>
        </w:rPr>
        <w:t xml:space="preserve">Tampoco voy a atender la queja sobre el daño moral, reconociendo que los padecimientos frente a un siniestro como el que nos ocupa es muy difícil de medir, el importe dado por el operador, conforme las pautas de proporcionalidad y racionalidad previstas en el art. 165 del CPCC aparecen como atinadas, confirmando desde aquí el monto dado. Los puntos de queja traídos por los litigantes sobre este rubro y respecto de cada uno de los legitimados son desde aquí confirmados en su cuantificación. (art- 1741 del CCCN y art. 165 del CPCC).</w:t>
      </w:r>
    </w:p>
    <w:p>
      <w:pPr>
        <w:pStyle w:val="[Normal]"/>
        <w:spacing w:line="360" w:lineRule="auto"/>
        <w:ind w:firstLine="1134"/>
        <w:jc w:val="both"/>
        <w:rPr>
          <w:lang w:val="es-AR" w:eastAsia="es-AR" w:bidi="es-AR"/>
        </w:rPr>
      </w:pPr>
      <w:r>
        <w:rPr>
          <w:lang w:val="es-AR" w:eastAsia="es-AR" w:bidi="es-AR"/>
        </w:rPr>
        <w:t xml:space="preserve">Ha dicho reiteradamente este Tribunal que "La valoración del detrimento del daño moral no se encuentra sujeta a cánones estrictos, sino que corresponde a los jueces de la causa establecer en forma prudente el quantum indemnizatorio, tomando como base la gravitación de la lesión sufrida y el hecho generador de la responsabilidad, su función resarcitoria y el principio de reparación integral; tal valoración está sujeta a la apreciación prudencial de los jueces (art. 165 del C.P.C. y C.), ello en atención a que son obvias las dificultades que existen para mensurar en dinero un detrimento de naturaleza no patrimonial, razón por la que ha de tratarse de que atienda apropiadamente a la magnitud del menoscabo espiritual. Siendo ello así, la reparación del daño moral debe ser determinada ponderando esencialmente la índole de los sufrimientos de quien los padece y no mediante una proporción que los vincule con los daños cuya indemnización se reclama" (CC0100 SN 8512, Carátula: Rizzotto, Luis Alberto y Otro c/ Miño, Angel Amavelio y Otros s/ Daños y Perjuicios S 20/12/2011).-Parto entonces de la base de que el daño moral, no patrimonial o extrapatrimonial (Art. 1741 CCCN) puede ser concebido como el comprensivo "de todos los detrimentos espirituales no incapacitantes del actor, el dolor, las aflicciones, los padecimientos, desconsuelo, desdicha, congoja, que provocan malestar grave y que alteran la estructura de los pensamientos, emociones y sentimientos" (arts. 1078 CC y 1741 CCCN; esta Sala, sentencia única recaída en causas nº 61.417, "Latu…" y nº 61.459, "Corradi…", del 07/03/2017; causas nro. 62.485, "Zampatti" y nro. 62.567, "Gorozo", sent. única del 22/5/18).  La víctima tiene una percepción negativa o distorsionada de la realidad (a raíz de la alteración de los pensamientos), que provoca repercusiones desfavorables en las emociones (ira, miedo, alegría, tristeza, asco, sorpresa) alterando los sentimientos (amor, fe, vergüenza, odio, culpa, envidia; arts. 1078 y 1741 CCCN)" (Galdós, Jorge Mario, "Hacia una nueva concepción del daño moral. El aporte de las neurociencias" La Ley 28/9/2020, AR/DOC/2903/2020, criterio recogido por el Tribunal Colegiado de Responsabilidad Extrancontractual N° 1, Primera Secretaría, de Santa Fe, CUIJ 21-12154089-1, autos "Monzón…", sent. del día 13 de noviembre de 2020). El resarcimiento del rubro y el ejercicio de las facultades emergentes del Art. 165 del CPCC quedan librados al prudente arbitrio judicial, y en el caso puntual este daño moral no requiere la producción de prueba directa, se lo tiene por configurado ante la razonable presunción de que el ilícito afectó el equilibrio espiritual de la persona. Es que se funda en el art. 1741 del CCyC y se tiene por acreditado con la sola comisión del acto antijurídico, puesta se trata de una prueba in re ipsa, esto es, que surge inmediatamente de los hechos mismos, sin que tenga que guardar proporción con los demás perjuicios admitidos.</w:t>
      </w:r>
    </w:p>
    <w:p>
      <w:pPr>
        <w:pStyle w:val="[Normal]"/>
        <w:spacing w:line="360" w:lineRule="auto"/>
        <w:ind w:firstLine="1134"/>
        <w:jc w:val="both"/>
        <w:rPr>
          <w:lang w:val="es-AR" w:eastAsia="es-AR" w:bidi="es-AR"/>
        </w:rPr>
      </w:pPr>
      <w:r>
        <w:rPr>
          <w:lang w:val="es-AR" w:eastAsia="es-AR" w:bidi="es-AR"/>
        </w:rPr>
        <w:t xml:space="preserve">Se confirman todos y cada uno de los importes dados en primera instancia.</w:t>
      </w:r>
    </w:p>
    <w:p>
      <w:pPr>
        <w:pStyle w:val="[Normal]"/>
        <w:spacing w:line="360" w:lineRule="auto"/>
        <w:ind w:firstLine="1134"/>
        <w:jc w:val="both"/>
        <w:rPr>
          <w:lang w:val="es-AR" w:eastAsia="es-AR" w:bidi="es-AR"/>
        </w:rPr>
      </w:pPr>
      <w:r>
        <w:rPr>
          <w:lang w:val="es-AR" w:eastAsia="es-AR" w:bidi="es-AR"/>
        </w:rPr>
        <w:t xml:space="preserve">Los gastos médicos, farmaceúticos y de traslado</w:t>
      </w:r>
      <w:r>
        <w:rPr>
          <w:b/>
          <w:lang w:val="es-AR" w:eastAsia="es-AR" w:bidi="es-AR"/>
        </w:rPr>
        <w:t xml:space="preserve"> </w:t>
      </w:r>
      <w:r>
        <w:rPr>
          <w:lang w:val="es-AR" w:eastAsia="es-AR" w:bidi="es-AR"/>
        </w:rPr>
        <w:t xml:space="preserve">también controvertidos por bajos y la contraria por altos, teniendo en cuenta que desde la fecha del siniestro hasta el deceso, la victima estuvo casi tres años en estado vegetativo, habiéndose probado internaciones fuera de la ciudad de Pergamino, con lo cual se infiere que hubo erogaciones y que las mismas fueron importantes, aparece como atinada la cifra dada por el juez de grado, que desde aquí se confirma.</w:t>
      </w:r>
    </w:p>
    <w:p>
      <w:pPr>
        <w:pStyle w:val="[Normal]"/>
        <w:spacing w:line="360" w:lineRule="auto"/>
        <w:ind w:firstLine="1134"/>
        <w:jc w:val="both"/>
        <w:rPr>
          <w:lang w:val="es-AR" w:eastAsia="es-AR" w:bidi="es-AR"/>
        </w:rPr>
      </w:pPr>
      <w:r>
        <w:rPr>
          <w:lang w:val="es-AR" w:eastAsia="es-AR" w:bidi="es-AR"/>
        </w:rPr>
        <w:t xml:space="preserve">Otro  punto de queja  versa sobre la admisión de la incapacidad física</w:t>
      </w:r>
      <w:r>
        <w:rPr>
          <w:b/>
          <w:lang w:val="es-AR" w:eastAsia="es-AR" w:bidi="es-AR"/>
        </w:rPr>
        <w:t xml:space="preserve"> </w:t>
      </w:r>
      <w:r>
        <w:rPr>
          <w:lang w:val="es-AR" w:eastAsia="es-AR" w:bidi="es-AR"/>
        </w:rPr>
        <w:t xml:space="preserve">sosteniendo el demandado que no procede la misma en tanto se verificó la falta de uso de casco de parte de la victima y que de haberlo usado el resultado hubiese sido distinto, posición controvertida por el actor quien sostiene lo contrario acudiendo a la pericia médica.</w:t>
      </w:r>
    </w:p>
    <w:p>
      <w:pPr>
        <w:pStyle w:val="[Normal]"/>
        <w:spacing w:line="360" w:lineRule="auto"/>
        <w:ind w:firstLine="1134"/>
        <w:jc w:val="both"/>
        <w:rPr>
          <w:lang w:val="es-AR" w:eastAsia="es-AR" w:bidi="es-AR"/>
        </w:rPr>
      </w:pPr>
      <w:r>
        <w:rPr>
          <w:lang w:val="es-AR" w:eastAsia="es-AR" w:bidi="es-AR"/>
        </w:rPr>
        <w:t xml:space="preserve">Está acreditado  que Rivarola circulaba sin casco protector, con la consabida vulneración de la normativa de tránsito.  Pero es necesario preguntarse cual ha sido el grado de incidencia en la incapacidad física por la omisión de este elemento de seguridad.</w:t>
      </w:r>
    </w:p>
    <w:p>
      <w:pPr>
        <w:pStyle w:val="[Normal]"/>
        <w:spacing w:line="360" w:lineRule="auto"/>
        <w:ind w:firstLine="1134"/>
        <w:jc w:val="both"/>
        <w:rPr>
          <w:lang w:val="es-AR" w:eastAsia="es-AR" w:bidi="es-AR"/>
        </w:rPr>
      </w:pPr>
      <w:r>
        <w:rPr>
          <w:lang w:val="es-AR" w:eastAsia="es-AR" w:bidi="es-AR"/>
        </w:rPr>
        <w:t xml:space="preserve">La disconformidad del quejoso se apontoca sobre la valoración del juez de grado de la pericia médica producida y su relación con las secuelas. Acudiendo a ellos se desprende de los informes periciales presentados (fechas 11/12/2022, 8/02/2023 y 3/07/2023) escuetamente señalan que  "en cuanto a la influencia del uso correcto del casco protector, dado la importancia de la lesión del tejido encefálico y las conclusiones del informe de evaluación de discapacidad el mismo no es considerado por este perito de influencia en el caso de autos" emitido por el Dr. Juan Bartolomé Tapia.</w:t>
      </w:r>
    </w:p>
    <w:p>
      <w:pPr>
        <w:pStyle w:val="[Normal]"/>
        <w:spacing w:line="360" w:lineRule="auto"/>
        <w:ind w:firstLine="1134"/>
        <w:jc w:val="both"/>
        <w:rPr>
          <w:lang w:val="es-AR" w:eastAsia="es-AR" w:bidi="es-AR"/>
        </w:rPr>
      </w:pPr>
      <w:r>
        <w:rPr>
          <w:lang w:val="es-AR" w:eastAsia="es-AR" w:bidi="es-AR"/>
        </w:rPr>
        <w:t xml:space="preserve">La valoración del mismo fue realizada por el aquo conforme la doctrina del art. 474 del CPCC, decidiendo la cuantificación  del rubro sin otorgarle incidencia a la omisión de casco, lo que genera el agravio.</w:t>
      </w:r>
    </w:p>
    <w:p>
      <w:pPr>
        <w:pStyle w:val="[Normal]"/>
        <w:spacing w:line="360" w:lineRule="auto"/>
        <w:ind w:firstLine="1134"/>
        <w:jc w:val="both"/>
        <w:rPr>
          <w:lang w:val="es-AR" w:eastAsia="es-AR" w:bidi="es-AR"/>
        </w:rPr>
      </w:pPr>
      <w:r>
        <w:rPr>
          <w:lang w:val="es-AR" w:eastAsia="es-AR" w:bidi="es-AR"/>
        </w:rPr>
        <w:t xml:space="preserve">Pero traída la cuestión a instancia revisoria voy a proponer la modificación parcial de lo resuelto aquí, teniendo en cuenta diversas consideraciones y sobre todo la doctrina de este Tribunal en reiterados precedente  relacionados con el tema.</w:t>
      </w:r>
    </w:p>
    <w:p>
      <w:pPr>
        <w:pStyle w:val="[Normal]"/>
        <w:spacing w:line="360" w:lineRule="auto"/>
        <w:ind w:firstLine="1134"/>
        <w:jc w:val="both"/>
        <w:rPr>
          <w:b/>
          <w:lang w:val="es-AR" w:eastAsia="es-AR" w:bidi="es-AR"/>
        </w:rPr>
      </w:pPr>
      <w:r>
        <w:rPr>
          <w:lang w:val="es-AR" w:eastAsia="es-AR" w:bidi="es-AR"/>
        </w:rPr>
        <w:t xml:space="preserve">Desde la perspectiva normativa, rigen los arts. 1726 (causalidad adecuada), 1729 (reducción por concausa de la víctima) y 1740 (reparación plena) del CCyC, en armonía con el art. 40 inc. j de la Ley 24.449 (obligación de uso de casco). </w:t>
      </w:r>
    </w:p>
    <w:p>
      <w:pPr>
        <w:pStyle w:val="[Normal]"/>
        <w:spacing w:line="360" w:lineRule="auto"/>
        <w:ind w:firstLine="1134"/>
        <w:jc w:val="both"/>
        <w:rPr>
          <w:lang w:val="es-AR" w:eastAsia="es-AR" w:bidi="es-AR"/>
        </w:rPr>
      </w:pPr>
      <w:r>
        <w:rPr>
          <w:lang w:val="es-AR" w:eastAsia="es-AR" w:bidi="es-AR"/>
        </w:rPr>
        <w:t xml:space="preserve">La solución debe, entonces, ponderar proporcionalmente la infracción reglamentaria -en tanto factor de “mayor daño”- sin neutralizar la reparación de la porción residual que, aun con casco, razonablemente podría subsistir. </w:t>
      </w:r>
    </w:p>
    <w:p>
      <w:pPr>
        <w:pStyle w:val="[Normal]"/>
        <w:spacing w:line="360" w:lineRule="auto"/>
        <w:ind w:firstLine="1134"/>
        <w:jc w:val="both"/>
        <w:rPr>
          <w:b/>
          <w:lang w:val="es-AR" w:eastAsia="es-AR" w:bidi="es-AR"/>
        </w:rPr>
      </w:pPr>
      <w:r>
        <w:rPr>
          <w:lang w:val="es-AR" w:eastAsia="es-AR" w:bidi="es-AR"/>
        </w:rPr>
        <w:t xml:space="preserve">Adelanto pues que, bajo la óptica señalada, concurren tres vectores que justifican otorgarle aunque más no sea un 40% de incidencia sobre las secuelas craneofaciales.</w:t>
      </w:r>
    </w:p>
    <w:p>
      <w:pPr>
        <w:pStyle w:val="[Normal]"/>
        <w:spacing w:line="360" w:lineRule="auto"/>
        <w:ind w:firstLine="1134"/>
        <w:jc w:val="both"/>
        <w:rPr>
          <w:lang w:val="es-AR" w:eastAsia="es-AR" w:bidi="es-AR"/>
        </w:rPr>
      </w:pPr>
      <w:r>
        <w:rPr>
          <w:lang w:val="es-AR" w:eastAsia="es-AR" w:bidi="es-AR"/>
        </w:rPr>
        <w:t xml:space="preserve">Primero, el propio dictamen pericial aparece como escueto, insuficiente y sin respuestas contundentes desde lo científico, que den una detallada explicación que elimine totalmente  la posibilidad de que aún con casco el accidente hubiera sido del mismo modo.</w:t>
      </w:r>
    </w:p>
    <w:p>
      <w:pPr>
        <w:pStyle w:val="[Normal]"/>
        <w:spacing w:line="360" w:lineRule="auto"/>
        <w:ind w:firstLine="1134"/>
        <w:jc w:val="both"/>
        <w:rPr>
          <w:lang w:val="es-AR" w:eastAsia="es-AR" w:bidi="es-AR"/>
        </w:rPr>
      </w:pPr>
      <w:r>
        <w:rPr>
          <w:lang w:val="es-AR" w:eastAsia="es-AR" w:bidi="es-AR"/>
        </w:rPr>
        <w:t xml:space="preserve">Segundo, la naturaleza y localización de las secuelas, que no pueden pasar inadvertidas, basta con acudir a la descripción del daño sufrido: TEC sigla que se utiliza para identificar un traumatismo craneano y tomando las propia descripción del perito Tapia que en su presentación de fecha 3/07/2023 dice "que ratifica el informe original, aportando en este momento registro fotográfico del actor en su lecho, señalando que el mismo presenta un estado médico conocido vulgarmente como "vegetal" y que no tiene ninguna actividad motora, física ni conductual acompañando evolución médica correspondiente al día 39/03/2023 debiendo destacar que al examen físico se constata a nivel de cráneo en la región parieto temporal izquierda profunda depresión por pérdida de la calota craneal, si no que además normalmente en estos casos ante la carencia de la pared ósea craneana se aprecio y por ello se realiza cronoplastia con reconstrucción de la misma para proteger la estructura cerebral subyacente al cuero cabelludo, en el caso de autos se observa extensa depresión que evidencia la carencia de tejido cerebral por debajo del mismo sino que además no se aprecia el "latido" que produce la masa encefálica que en este caso se encuentra ausente".</w:t>
      </w:r>
    </w:p>
    <w:p>
      <w:pPr>
        <w:pStyle w:val="[Normal]"/>
        <w:spacing w:line="360" w:lineRule="auto"/>
        <w:ind w:firstLine="1134"/>
        <w:jc w:val="both"/>
        <w:rPr>
          <w:lang w:val="es-AR" w:eastAsia="es-AR" w:bidi="es-AR"/>
        </w:rPr>
      </w:pPr>
      <w:r>
        <w:rPr>
          <w:lang w:val="es-AR" w:eastAsia="es-AR" w:bidi="es-AR"/>
        </w:rPr>
        <w:t xml:space="preserve">Después de este lapidario informe pericial me llama poderosamente la atención como el mismo profesional  señala en otro de fecha 8/02/2023 que "en cuanto a la influencia del uso correcto del casco protector dado la importancia de la lesión del tejido encefálico y las conclusiones del informe de evaluación de discapacidad el mismo no es considerado por este perito de influencia en el caso de autos.</w:t>
      </w:r>
    </w:p>
    <w:p>
      <w:pPr>
        <w:pStyle w:val="[Normal]"/>
        <w:spacing w:line="360" w:lineRule="auto"/>
        <w:ind w:firstLine="1134"/>
        <w:jc w:val="both"/>
        <w:rPr>
          <w:lang w:val="es-AR" w:eastAsia="es-AR" w:bidi="es-AR"/>
        </w:rPr>
      </w:pPr>
      <w:r>
        <w:rPr>
          <w:lang w:val="es-AR" w:eastAsia="es-AR" w:bidi="es-AR"/>
        </w:rPr>
        <w:t xml:space="preserve">De una insuficiencia científica que no puede pasarse por alto y que ha de reprocharse en cuanto no arrima elementos técnicos  certeros para una despejada evaluación probatoria.</w:t>
      </w:r>
    </w:p>
    <w:p>
      <w:pPr>
        <w:pStyle w:val="[Normal]"/>
        <w:spacing w:line="360" w:lineRule="auto"/>
        <w:ind w:firstLine="1134"/>
        <w:jc w:val="both"/>
        <w:rPr>
          <w:lang w:val="es-AR" w:eastAsia="es-AR" w:bidi="es-AR"/>
        </w:rPr>
      </w:pPr>
      <w:r>
        <w:rPr>
          <w:lang w:val="es-AR" w:eastAsia="es-AR" w:bidi="es-AR"/>
        </w:rPr>
        <w:t xml:space="preserve">Va de suerte que el dictamen pericial no es vinculante y los jueces pueden apartarse del mismo, en el caso la evidente contradicción entre el tipo de lesiones en el cráneo recogidas por el experto y la afirmación del mismo perito sobre la no incidencia del casco, me permiten apartarme sosteniendo una postura contraria a la del juez de grado, señalando desde aquí que en el proceso de cuantificación dicha omisión va a ser tenida en cuenta.</w:t>
      </w:r>
    </w:p>
    <w:p>
      <w:pPr>
        <w:pStyle w:val="[Normal]"/>
        <w:spacing w:line="360" w:lineRule="auto"/>
        <w:ind w:firstLine="1134"/>
        <w:jc w:val="both"/>
        <w:rPr>
          <w:lang w:val="es-AR" w:eastAsia="es-AR" w:bidi="es-AR"/>
        </w:rPr>
      </w:pPr>
      <w:r>
        <w:rPr>
          <w:lang w:val="es-AR" w:eastAsia="es-AR" w:bidi="es-AR"/>
        </w:rPr>
        <w:t xml:space="preserve">La experiencia  judicial autoriza, por ende, a asignar una incidencia alta, pero no absoluta, sobre el conjunto de la afectación craneofacial (art. 384 del CPCCBA).</w:t>
      </w:r>
    </w:p>
    <w:p>
      <w:pPr>
        <w:pStyle w:val="[Normal]"/>
        <w:spacing w:line="360" w:lineRule="auto"/>
        <w:ind w:firstLine="1134"/>
        <w:jc w:val="both"/>
        <w:rPr>
          <w:lang w:val="es-AR" w:eastAsia="es-AR" w:bidi="es-AR"/>
        </w:rPr>
      </w:pPr>
      <w:r>
        <w:rPr>
          <w:lang w:val="es-AR" w:eastAsia="es-AR" w:bidi="es-AR"/>
        </w:rPr>
        <w:t xml:space="preserve">Asimismo, la solución adoptada (excluir el 50%) del tramo craneofacial) armoniza con la doctrina legal vigente de esta Cámara porque respeta su doble directriz: i) el no uso de casco no integra la causalidad del accidente -no desplaza la autoría civil- y solo incide en la extensión del daño (“mayor daño”); y ii) lo que corresponde sustraer del quantum son aquellas consecuencias que “habrían podido evitarse o mitigarse” con el casco, esto es, una porción del perjuicio y no, por regla, su totalidad.  Así lo dejó sentado el a quo al citar precedente reciente de la Cámara (causa N° 5575-25, 13/05/2025): la falta de casco “carece de repercusión en la producción del accidente”, aunque “habría operado presumiblemente como un factor reductor del daño”, por lo que deben sustraerse del resarcimiento las consecuencias evitables o mitigables en la proporción en que hubiese operado la evitación o mitigación.</w:t>
      </w:r>
    </w:p>
    <w:p>
      <w:pPr>
        <w:pStyle w:val="[Normal]"/>
        <w:spacing w:line="360" w:lineRule="auto"/>
        <w:ind w:firstLine="1134"/>
        <w:jc w:val="both"/>
        <w:rPr>
          <w:lang w:val="es-AR" w:eastAsia="es-AR" w:bidi="es-AR"/>
        </w:rPr>
      </w:pPr>
      <w:r>
        <w:rPr>
          <w:lang w:val="es-AR" w:eastAsia="es-AR" w:bidi="es-AR"/>
        </w:rPr>
        <w:t xml:space="preserve">A mayor abundamiento, y para robustecer argumentalmente la reducción del 50% sobre las secuelas craneofaciales por no uso de casco, es dable apuntar los siguientes datos empíricos y evidencia sociológica que confirman su fuerte (aunque no absoluta) eficacia preventiva, respaldando de tal modo la solución aquí propiciada. Veamos:</w:t>
      </w:r>
    </w:p>
    <w:p>
      <w:pPr>
        <w:pStyle w:val="[Normal]"/>
        <w:spacing w:line="360" w:lineRule="auto"/>
        <w:ind w:firstLine="1134"/>
        <w:jc w:val="both"/>
        <w:rPr>
          <w:lang w:val="es-AR" w:eastAsia="es-AR" w:bidi="es-AR"/>
        </w:rPr>
      </w:pPr>
      <w:r>
        <w:rPr>
          <w:lang w:val="es-AR" w:eastAsia="es-AR" w:bidi="es-AR"/>
        </w:rPr>
        <w:t xml:space="preserve">- Evidencia internacional y sanitaria. La OMS reporta que el casco reduce el riesgo de lesión cerebral hasta en un 74% y la probabilidad de muerte “más de seis veces”, con impacto probado en la gravedad y letalidad de siniestros viales con motociclistas. Estos datos sustentan técnicamente una deducción elevada del segmento de daño craneoencefálico atribuible a la falta de casco (Liu BC, Ivers R, Norton R, Boufous S, Blows S, Lo SK. Helmets for preventing injury in motorcycle riders. Cochrane Database of Systematic Reviews 2008, Issue 1. Art. No.: CD004333. DOI: 10.1002/14651858.CD004333.pub3. en https://www.cochrane.org/evidence/CD004333_helmets-are-shown-reduce-motorcyclist-head-injury-and-death?utm_source=chatgpt.com).</w:t>
      </w:r>
    </w:p>
    <w:p>
      <w:pPr>
        <w:pStyle w:val="[Normal]"/>
        <w:spacing w:line="360" w:lineRule="auto"/>
        <w:ind w:firstLine="1134"/>
        <w:jc w:val="both"/>
        <w:rPr>
          <w:lang w:val="es-AR" w:eastAsia="es-AR" w:bidi="es-AR"/>
        </w:rPr>
      </w:pPr>
      <w:r>
        <w:rPr>
          <w:lang w:val="es-AR" w:eastAsia="es-AR" w:bidi="es-AR"/>
        </w:rPr>
        <w:t xml:space="preserve">- Metaanálisis y revisiones sistemáticas. La Colaboración Cochrane concluyó que los cascos disminuyen el riesgo de lesión de cabeza alrededor del 69% y el riesgo de muerte aproximadamente un 42%, sin evidencia suficiente para afirmar la eliminación total del daño ni para equiparar siempre la protección facial según tipo de casco. Ello avala una reducción intensa, pero no del 100%, coherente con nuestro remanente indemnizable del 20% (Social Determinants of Health (SDH), Editors World Health Organization, Reference numbers: ISBN: 978-92-4-006982-4, https://www.who.int/publications/i/item/9789240069824?utm_source=chatgpt.com).</w:t>
      </w:r>
    </w:p>
    <w:p>
      <w:pPr>
        <w:pStyle w:val="[Normal]"/>
        <w:spacing w:line="360" w:lineRule="auto"/>
        <w:ind w:firstLine="1134"/>
        <w:jc w:val="both"/>
        <w:rPr>
          <w:lang w:val="es-AR" w:eastAsia="es-AR" w:bidi="es-AR"/>
        </w:rPr>
      </w:pPr>
      <w:r>
        <w:rPr>
          <w:lang w:val="es-AR" w:eastAsia="es-AR" w:bidi="es-AR"/>
        </w:rPr>
        <w:t xml:space="preserve">- La Agencia Nacional de Seguridad Vial advierte que los traumatismos craneoencefálicos constituyen la principal causa de lesiones graves, discapacidad y fallecimientos entre motociclistas sin casco; además, en Argentina 4 de cada 10 muertes en siniestros viales corresponden a motociclistas, lo que dimensiona el peso epidemiológico del factor “casco” en la reducción del daño social. Estos hallazgos refuerzan, con enfoque contextual, la decisión de imputar gran parte del “mayor daño” a la omisión del casco (https://www.argentina.gob.ar/sites/default/files/2018/12/ansv_costos_tx_cabeza_motociclistas_nacion_2019.pdf?utm_source=chatgpt.com).</w:t>
      </w:r>
    </w:p>
    <w:p>
      <w:pPr>
        <w:pStyle w:val="[Normal]"/>
        <w:spacing w:line="360" w:lineRule="auto"/>
        <w:ind w:firstLine="1134"/>
        <w:jc w:val="both"/>
        <w:rPr>
          <w:lang w:val="es-AR" w:eastAsia="es-AR" w:bidi="es-AR"/>
        </w:rPr>
      </w:pPr>
      <w:r>
        <w:rPr>
          <w:lang w:val="es-AR" w:eastAsia="es-AR" w:bidi="es-AR"/>
        </w:rPr>
        <w:t xml:space="preserve">- La literatura clínica disponible muestra asociación entre uso de casco y menor incidencia de fracturas faciales; y que los cascos integrales (full-face) tienden a proteger más cabeza y cuello que otros tipos, sin garantizar inmunidad total de lesiones faciales (https://pubmed.ncbi.nlm.nih.gov/36629720/). </w:t>
      </w:r>
    </w:p>
    <w:p>
      <w:pPr>
        <w:pStyle w:val="[Normal]"/>
        <w:spacing w:line="360" w:lineRule="auto"/>
        <w:ind w:firstLine="1134"/>
        <w:jc w:val="both"/>
        <w:rPr>
          <w:lang w:val="es-AR" w:eastAsia="es-AR" w:bidi="es-AR"/>
        </w:rPr>
      </w:pPr>
      <w:r>
        <w:rPr>
          <w:lang w:val="es-AR" w:eastAsia="es-AR" w:bidi="es-AR"/>
        </w:rPr>
        <w:t xml:space="preserve">En suma, este complejo cuadro documental abona la tesis de la protección alta pero no perfecta, y justifica consecuentemente excluir una porción mayoritaria del tramo craneofacial  (50% ) residual acorde a la pericia (“podría haber atenuado”), a la fuentes científicas disponibles y a la sana crítica racional (art. 389 del CPCCBA). </w:t>
      </w:r>
    </w:p>
    <w:p>
      <w:pPr>
        <w:pStyle w:val="[Normal]"/>
        <w:spacing w:line="360" w:lineRule="auto"/>
        <w:ind w:firstLine="1134"/>
        <w:jc w:val="both"/>
        <w:rPr>
          <w:lang w:val="es-AR" w:eastAsia="es-AR" w:bidi="es-AR"/>
        </w:rPr>
      </w:pPr>
      <w:r>
        <w:rPr>
          <w:lang w:val="es-AR" w:eastAsia="es-AR" w:bidi="es-AR"/>
        </w:rPr>
        <w:t xml:space="preserve">En términos normativos, la causalidad adecuada (art. 1726 CCyC) y la concausa de la víctima (art. 1729 CCyC) operan sobre un soporte probatorio esencialmente probabilístico; de ahí que la sana crítica (art. 384 CPCCBA) y la equidad funcional de la reparación (arts. 1738 y 1740 CCyC) cobren preeminencia sobre reglas cerradas.</w:t>
      </w:r>
    </w:p>
    <w:p>
      <w:pPr>
        <w:pStyle w:val="[Normal]"/>
        <w:spacing w:line="360" w:lineRule="auto"/>
        <w:ind w:firstLine="1134"/>
        <w:jc w:val="both"/>
        <w:rPr>
          <w:lang w:val="es-AR" w:eastAsia="es-AR" w:bidi="es-AR"/>
        </w:rPr>
      </w:pPr>
      <w:r>
        <w:rPr>
          <w:lang w:val="es-AR" w:eastAsia="es-AR" w:bidi="es-AR"/>
        </w:rPr>
        <w:t xml:space="preserve">Corresponde entonces habilitar un margen discrecional más amplio al juzgador para fijar la reducción -siempre dentro de bandas razonables y con apoyo en la pericia y la experiencia-, y reservar a la alzada un control de arbitrariedad, coherencia interna y suficiencia de fundamentos.</w:t>
      </w:r>
    </w:p>
    <w:p>
      <w:pPr>
        <w:pStyle w:val="[Normal]"/>
        <w:spacing w:line="360" w:lineRule="auto"/>
        <w:ind w:firstLine="1134"/>
        <w:jc w:val="both"/>
        <w:rPr>
          <w:lang w:val="es-AR" w:eastAsia="es-AR" w:bidi="es-AR"/>
        </w:rPr>
      </w:pPr>
      <w:r>
        <w:rPr>
          <w:lang w:val="es-AR" w:eastAsia="es-AR" w:bidi="es-AR"/>
        </w:rPr>
        <w:t xml:space="preserve">A nivel sistémico, esta solución concilia los arts. 1726, 1729 y 1740 CCyC con la regla de uso de casco (art. 40 inc. j, Ley 24.449), respeta la función del criterio de “mayor daño” receptado en la sentencia y se apoya en la pericia y la sana crítica (art. 384 CPCCBA), evitando los dos excesos: ni trasladar a la víctima el 100% del segmento sin respaldo técnico, ni ignorar la infracción que incrementó significativamente la magnitud lesiva.</w:t>
      </w:r>
    </w:p>
    <w:p>
      <w:pPr>
        <w:pStyle w:val="[Normal]"/>
        <w:spacing w:line="360" w:lineRule="auto"/>
        <w:ind w:firstLine="1134"/>
        <w:jc w:val="both"/>
        <w:rPr>
          <w:lang w:val="es-AR" w:eastAsia="es-AR" w:bidi="es-AR"/>
        </w:rPr>
      </w:pPr>
      <w:r>
        <w:rPr>
          <w:lang w:val="es-AR" w:eastAsia="es-AR" w:bidi="es-AR"/>
        </w:rPr>
        <w:t xml:space="preserve">En consecuencia, propicio admitir el agravio de modo parcial, fijando la incidencia del no uso de casco en el 50% respecto del daño craneofacial. </w:t>
      </w:r>
    </w:p>
    <w:p>
      <w:pPr>
        <w:pStyle w:val="[Normal]"/>
        <w:spacing w:line="360" w:lineRule="auto"/>
        <w:ind w:firstLine="1134"/>
        <w:jc w:val="both"/>
        <w:rPr>
          <w:b/>
          <w:lang w:val="es-AR" w:eastAsia="es-AR" w:bidi="es-AR"/>
        </w:rPr>
      </w:pPr>
      <w:r>
        <w:rPr>
          <w:lang w:val="es-AR" w:eastAsia="es-AR" w:bidi="es-AR"/>
        </w:rPr>
        <w:t xml:space="preserve">De acuerdo a este razonamiento entonces la suma dada por el rubro incapacidad física y parcial se reduce desde aquí al 50% de lo dado por el aquo  revocando parcialmente este punto.</w:t>
      </w:r>
    </w:p>
    <w:p>
      <w:pPr>
        <w:pStyle w:val="[Normal]"/>
        <w:spacing w:line="360" w:lineRule="auto"/>
        <w:ind w:firstLine="1134"/>
        <w:jc w:val="both"/>
        <w:rPr>
          <w:lang w:val="es-AR" w:eastAsia="es-AR" w:bidi="es-AR"/>
        </w:rPr>
      </w:pPr>
      <w:r>
        <w:rPr>
          <w:lang w:val="es-AR" w:eastAsia="es-AR" w:bidi="es-AR"/>
        </w:rPr>
        <w:t xml:space="preserve">La pérdida de chance que viene controvertida ha sido bien meritada por el aquo en cuanto señalara que  no ha sido acreditada y no encuentro motivos para apartarme de lo decidido por el operador. No se ha cumplido con el imperativo de su propio interés (art. 375 del CPCC y su doctrina), confirmando lo decidido en este punto por el operador. No son suficientes los dichos de los testigos invocados por l aparte actora y que dice omitidos en la valoración del rubro.</w:t>
      </w:r>
    </w:p>
    <w:p>
      <w:pPr>
        <w:pStyle w:val="[Normal]"/>
        <w:spacing w:line="360" w:lineRule="auto"/>
        <w:ind w:firstLine="1134"/>
        <w:jc w:val="both"/>
        <w:rPr>
          <w:lang w:val="es-AR" w:eastAsia="es-AR" w:bidi="es-AR"/>
        </w:rPr>
      </w:pPr>
      <w:r>
        <w:rPr>
          <w:lang w:val="es-AR" w:eastAsia="es-AR" w:bidi="es-AR"/>
        </w:rPr>
        <w:t xml:space="preserve">Se confirma también el agravio contra el daño psíquico y sus importes traídos por el demandado en relación a la Sra. Bernal y Rivarola en tanto la crítica aparece como un disgusto contra lo decidido pro no se motiva en causas concretas.</w:t>
      </w:r>
    </w:p>
    <w:p>
      <w:pPr>
        <w:pStyle w:val="[Normal]"/>
        <w:spacing w:line="360" w:lineRule="auto"/>
        <w:ind w:firstLine="1134"/>
        <w:jc w:val="both"/>
        <w:rPr>
          <w:lang w:val="es-AR" w:eastAsia="es-AR" w:bidi="es-AR"/>
        </w:rPr>
      </w:pPr>
      <w:r>
        <w:rPr>
          <w:lang w:val="es-AR" w:eastAsia="es-AR" w:bidi="es-AR"/>
        </w:rPr>
        <w:t xml:space="preserve">Todo lo expuesto se encuentra fundado en los arts. 1716, 1717, 1718, 1721, 1722, 1723, 1726, 1727, 1734, 1736, 137, 1739, 1740, 1741, 1744, 1745, 1748 y ccs del Código Civil Unificado.-</w:t>
      </w:r>
    </w:p>
    <w:p>
      <w:pPr>
        <w:pStyle w:val="[Normal]"/>
        <w:spacing w:line="360" w:lineRule="auto"/>
        <w:ind w:firstLine="1134"/>
        <w:jc w:val="both"/>
        <w:rPr>
          <w:lang w:val="es-AR" w:eastAsia="es-AR" w:bidi="es-AR"/>
        </w:rPr>
      </w:pPr>
      <w:r>
        <w:rPr>
          <w:lang w:val="es-AR" w:eastAsia="es-AR" w:bidi="es-AR"/>
        </w:rPr>
        <w:t xml:space="preserve">IX).- Por último la queja que viene sustentada en la actualización del capital IPC y que se motiva en la improcedencia del dictado de oficio de la inconstitucionalidad de la prohibición de indexar de los arts. 7 y 10 Ley 23.928, aduciendo que el precedente Barrios no es aplicable en la especie, en tanto señala que la sentencia dictada en autos lo ha sido a valores actuales por lo que sostiene debe aplicarse al monto del decisorio los intereses a calcularse al 6% anual desde la fecha del hecho a la fecha de la sentencia y de allí en mas y hasta su efectivo pago, la tasa pasiva digital fijada por el Banco del  Provincia de Buenos Aires en sus depósitos a 30 días "Ponce" "Ginossi" "Vera".</w:t>
      </w:r>
    </w:p>
    <w:p>
      <w:pPr>
        <w:pStyle w:val="[Normal]"/>
        <w:spacing w:line="360" w:lineRule="auto"/>
        <w:ind w:firstLine="1134"/>
        <w:jc w:val="both"/>
        <w:rPr>
          <w:lang w:val="es-AR" w:eastAsia="es-AR" w:bidi="es-AR"/>
        </w:rPr>
      </w:pPr>
      <w:r>
        <w:rPr>
          <w:lang w:val="es-AR" w:eastAsia="es-AR" w:bidi="es-AR"/>
        </w:rPr>
        <w:t xml:space="preserve">Es dable señalar que los importes  que surgen de la sentencia de primera instancia lo fueron a valores contemporáneos a la sentencia de grado, con lo cual lo que resta definir en sede revisora es si por el tramo posterior a la sentencia corresponde confirmar o no la declaración de inconstitucionalidad y la consecuente actualización del monto de sentencia hasta el efectivo pago, o bien proceder en el modo indicado por el recurrente, es decir aplicando la tasa pasiva más alta en el período de referencia.</w:t>
      </w:r>
    </w:p>
    <w:p>
      <w:pPr>
        <w:pStyle w:val="[Normal]"/>
        <w:spacing w:line="360" w:lineRule="auto"/>
        <w:ind w:firstLine="1134"/>
        <w:jc w:val="both"/>
        <w:rPr>
          <w:lang w:val="es-AR" w:eastAsia="es-AR" w:bidi="es-AR"/>
        </w:rPr>
      </w:pPr>
      <w:r>
        <w:rPr>
          <w:lang w:val="es-AR" w:eastAsia="es-AR" w:bidi="es-AR"/>
        </w:rPr>
        <w:t xml:space="preserve">Respondiendo a tal interrogante, considero -conforme a lo ya sentado por este Tribunal en la causa n° 5587, res. de fecha 13/5/2025- que   las vicisitudes económicas que pudieran acaecer durante el tramo comprendido entre el dictado de este pronunciamiento y el efectivo pago de la condena (hoy meramente conjeturales e hipotéticas, especialmente si se tiene en cuenta la gradual desaceleración del índice de inflación operada en el último tiempo), deben ser oportunamente planteadas y sometidas al escrutinio judicial, en caso de sobrevenir una hipótesis de conflicto constitucional de similares contornos a la evaluada por la Suprema Corte en “Barrios”, circunstancia que, eventualmente, y de verificarse análogos presupuestos formales y sustanciales, podría dar lugar a la adopción de alguno de los mecanismos de conservación del capital allí sopesados por el Alto Cuerpo, en pos de resguardar la integridad del derecho de propiedad del acreedor (conf. arg. consid. V.16.e. y ccds. del fallo citado). Por lo que considero que la declaración de inconstitucionalidad devino prematura tanto en el momento en que fue dictada como también lo sería en la presente instancia, por lo que no existe actualmente razón suficiente que justifique la confirmación de la declaración de inconstitucionalidad y la solución indexatoria dispuesta por el Tribunal de grado.</w:t>
      </w:r>
    </w:p>
    <w:p>
      <w:pPr>
        <w:pStyle w:val="[Normal]"/>
        <w:spacing w:line="360" w:lineRule="auto"/>
        <w:ind w:firstLine="1134"/>
        <w:jc w:val="both"/>
        <w:rPr>
          <w:lang w:val="es-AR" w:eastAsia="es-AR" w:bidi="es-AR"/>
        </w:rPr>
      </w:pPr>
      <w:r>
        <w:rPr>
          <w:lang w:val="es-AR" w:eastAsia="es-AR" w:bidi="es-AR"/>
        </w:rPr>
        <w:t xml:space="preserve">A mayor abundamiento, he de señalar que la actualización de un crédito es un mecanismo por medio del cual el objeto de la obligación se expresa a valores corrientes o de acuerdo a parámetros económicos actualizados.  Esto resulta especialmente necesario en contextos en los que transcurre tiempo entre el nacimiento y el cumplimiento de la obligación y una coyuntura inflacionaria altera el poder adquisitivo de la moneda en la que se expresa o se cuantifica la deuda (Cf. Cámara de Apelaciones en lo Civil y Comercial de Mar del Plata, </w:t>
      </w:r>
      <w:r>
        <w:rPr>
          <w:i/>
          <w:lang w:val="es-AR" w:eastAsia="es-AR" w:bidi="es-AR"/>
        </w:rPr>
        <w:t xml:space="preserve">“DOWNIE, Débora Paola c. LA MERCANTIL ANDINA s. CUMPLIMIENTO DE CONTRATO”,</w:t>
      </w:r>
      <w:r>
        <w:rPr>
          <w:lang w:val="es-AR" w:eastAsia="es-AR" w:bidi="es-AR"/>
        </w:rPr>
        <w:t xml:space="preserve"> 18/3/25).</w:t>
      </w:r>
    </w:p>
    <w:p>
      <w:pPr>
        <w:pStyle w:val="[Normal]"/>
        <w:spacing w:line="360" w:lineRule="auto"/>
        <w:ind w:firstLine="1134"/>
        <w:jc w:val="both"/>
        <w:rPr>
          <w:lang w:val="es-AR" w:eastAsia="es-AR" w:bidi="es-AR"/>
        </w:rPr>
      </w:pPr>
      <w:r>
        <w:rPr>
          <w:lang w:val="es-AR" w:eastAsia="es-AR" w:bidi="es-AR"/>
        </w:rPr>
        <w:t xml:space="preserve">Pero esa actualización, como género, contempla diversas especies.</w:t>
      </w:r>
    </w:p>
    <w:p>
      <w:pPr>
        <w:pStyle w:val="[Normal]"/>
        <w:spacing w:line="360" w:lineRule="auto"/>
        <w:ind w:firstLine="1134"/>
        <w:jc w:val="both"/>
        <w:rPr>
          <w:lang w:val="es-AR" w:eastAsia="es-AR" w:bidi="es-AR"/>
        </w:rPr>
      </w:pPr>
      <w:r>
        <w:rPr>
          <w:lang w:val="es-AR" w:eastAsia="es-AR" w:bidi="es-AR"/>
        </w:rPr>
        <w:t xml:space="preserve">Una es el reajuste o actualización por índices en la que el valor nominal del capital fluctúa al son de un parámetro o índice que opera como referencia externa, modalidad actualmente prohibida por los art. 7 y 10 de la Ley 23.928 y que ha sido declarada inconstitucional en el fallo "Barrios" conforme a las especiales circunstancias que se verificasen en dicha causa.</w:t>
      </w:r>
    </w:p>
    <w:p>
      <w:pPr>
        <w:pStyle w:val="[Normal]"/>
        <w:spacing w:line="360" w:lineRule="auto"/>
        <w:ind w:firstLine="1134"/>
        <w:jc w:val="both"/>
        <w:rPr>
          <w:lang w:val="es-AR" w:eastAsia="es-AR" w:bidi="es-AR"/>
        </w:rPr>
      </w:pPr>
      <w:r>
        <w:rPr>
          <w:lang w:val="es-AR" w:eastAsia="es-AR" w:bidi="es-AR"/>
        </w:rPr>
        <w:t xml:space="preserve">Otra es la valuación del daño a valores contemporáneos a la fecha de la sentencia (SCBA, "Vera, Juan Carlos contra Provincia de Buenos Aires. Daños y perjuicios", causa C. 120.536, 18/04/2018; </w:t>
      </w:r>
      <w:r>
        <w:rPr>
          <w:color w:val="000000"/>
          <w:shd w:val="clear" w:color="auto" w:fill="FFFFFF"/>
          <w:lang w:val="es-AR" w:eastAsia="es-AR" w:bidi="es-AR"/>
        </w:rPr>
        <w:t xml:space="preserve">SCJBA, "Nidera S. A. contra Provincia de Buenos Aires. Daños y perjuicios", C. 121.134, 3/5/2018) </w:t>
      </w:r>
      <w:r>
        <w:rPr>
          <w:lang w:val="es-AR" w:eastAsia="es-AR" w:bidi="es-AR"/>
        </w:rPr>
        <w:t xml:space="preserve">o difiriendo la valuación del daño a un momento ulterior (SCBA, entre muchísimos otros, véase c. 101.107 -“</w:t>
      </w:r>
      <w:r>
        <w:rPr>
          <w:i/>
          <w:lang w:val="es-AR" w:eastAsia="es-AR" w:bidi="es-AR"/>
        </w:rPr>
        <w:t xml:space="preserve">Arbizu</w:t>
      </w:r>
      <w:r>
        <w:rPr>
          <w:lang w:val="es-AR" w:eastAsia="es-AR" w:bidi="es-AR"/>
        </w:rPr>
        <w:t xml:space="preserve">...”- del 23/03/2010 c. 117735 -"</w:t>
      </w:r>
      <w:r>
        <w:rPr>
          <w:i/>
          <w:lang w:val="es-AR" w:eastAsia="es-AR" w:bidi="es-AR"/>
        </w:rPr>
        <w:t xml:space="preserve">Bi Launek</w:t>
      </w:r>
      <w:r>
        <w:rPr>
          <w:lang w:val="es-AR" w:eastAsia="es-AR" w:bidi="es-AR"/>
        </w:rPr>
        <w:t xml:space="preserve">"- del 24/09/2014, c. 117501 -"</w:t>
      </w:r>
      <w:r>
        <w:rPr>
          <w:i/>
          <w:lang w:val="es-AR" w:eastAsia="es-AR" w:bidi="es-AR"/>
        </w:rPr>
        <w:t xml:space="preserve">Martinez</w:t>
      </w:r>
      <w:r>
        <w:rPr>
          <w:lang w:val="es-AR" w:eastAsia="es-AR" w:bidi="es-AR"/>
        </w:rPr>
        <w:t xml:space="preserve">"- del 04/03/2015).  En ambas, campea la noción de deuda de valor que, con el claro propósito de evitar las distorsiones que genera el nominalismo en coyunturas inflacionarias- permite concebir al objeto debido como un </w:t>
      </w:r>
      <w:r>
        <w:rPr>
          <w:i/>
          <w:lang w:val="es-AR" w:eastAsia="es-AR" w:bidi="es-AR"/>
        </w:rPr>
        <w:t xml:space="preserve">quid </w:t>
      </w:r>
      <w:r>
        <w:rPr>
          <w:lang w:val="es-AR" w:eastAsia="es-AR" w:bidi="es-AR"/>
        </w:rPr>
        <w:t xml:space="preserve">o </w:t>
      </w:r>
      <w:r>
        <w:rPr>
          <w:i/>
          <w:lang w:val="es-AR" w:eastAsia="es-AR" w:bidi="es-AR"/>
        </w:rPr>
        <w:t xml:space="preserve">valor </w:t>
      </w:r>
      <w:r>
        <w:rPr>
          <w:lang w:val="es-AR" w:eastAsia="es-AR" w:bidi="es-AR"/>
        </w:rPr>
        <w:t xml:space="preserve">a ser cuantificado en un momento posterior al nacimiento de la deuda o incluso expresarlo en una moneda sin curso legal.</w:t>
      </w:r>
    </w:p>
    <w:p>
      <w:pPr>
        <w:pStyle w:val="[Normal]"/>
        <w:spacing w:line="360" w:lineRule="auto"/>
        <w:ind w:firstLine="1134"/>
        <w:jc w:val="both"/>
        <w:rPr>
          <w:lang w:val="es-AR" w:eastAsia="es-AR" w:bidi="es-AR"/>
        </w:rPr>
      </w:pPr>
      <w:r>
        <w:rPr>
          <w:lang w:val="es-AR" w:eastAsia="es-AR" w:bidi="es-AR"/>
        </w:rPr>
        <w:t xml:space="preserve">Finalmente, la solución tradicional ha sido procurar dicha actualización mediante el uso de una tasa de interés moratoria como mecanismo indirecto de actualización (CSJN Fallos: 347:1446, in re “</w:t>
      </w:r>
      <w:r>
        <w:rPr>
          <w:i/>
          <w:lang w:val="es-AR" w:eastAsia="es-AR" w:bidi="es-AR"/>
        </w:rPr>
        <w:t xml:space="preserve">Barrientos, Gabriela </w:t>
      </w:r>
      <w:r>
        <w:rPr>
          <w:lang w:val="es-AR" w:eastAsia="es-AR" w:bidi="es-AR"/>
        </w:rPr>
        <w:t xml:space="preserve">“, del 15/10/2024).</w:t>
      </w:r>
    </w:p>
    <w:p>
      <w:pPr>
        <w:pStyle w:val="[Normal]"/>
        <w:spacing w:line="360" w:lineRule="auto"/>
        <w:ind w:firstLine="1134"/>
        <w:jc w:val="both"/>
        <w:rPr>
          <w:lang w:val="es-AR" w:eastAsia="es-AR" w:bidi="es-AR"/>
        </w:rPr>
      </w:pPr>
      <w:r>
        <w:rPr>
          <w:lang w:val="es-AR" w:eastAsia="es-AR" w:bidi="es-AR"/>
        </w:rPr>
        <w:t xml:space="preserve">Con lo expuesto, queda en evidencia que actualizar no necesariamente supone repotenciar o reajustar por índices, toda vez que se puede llegar al primer resultado (actualización) a través de distintas vías o métodos.</w:t>
      </w:r>
    </w:p>
    <w:p>
      <w:pPr>
        <w:pStyle w:val="[Normal]"/>
        <w:spacing w:line="360" w:lineRule="auto"/>
        <w:ind w:firstLine="1134"/>
        <w:jc w:val="both"/>
        <w:rPr>
          <w:i/>
          <w:lang w:val="es-AR" w:eastAsia="es-AR" w:bidi="es-AR"/>
        </w:rPr>
      </w:pPr>
      <w:r>
        <w:rPr>
          <w:lang w:val="es-AR" w:eastAsia="es-AR" w:bidi="es-AR"/>
        </w:rPr>
        <w:t xml:space="preserve">La conveniencia de indexar un crédito (en contraste con utilizar tasas bancarias sobre el tramo dinerario de una deuda de valor ya cuantificada) dependerá de las características del caso, de numerosas variables macroeconómicas y de la extensión temporal de la mora, entre otras variables.  En particular, depende de cuándo el valor fue convertido a dinero, cuándo se cancela la deuda, cómo es la evolución comparada de las tasas y el IPC en los períodos posteriores a la conversión, etcétera.  Con un índice de inflación decreciente no son pocos los escenarios en los que al actor le conviene que a su deuda de valor ya convertida en dinero se le incorpore una tasa de interés activa en contraste con el mero reajuste por índices y una tasa pura del 6% anual (cf. cit. Cámara de Apelaciones en lo Civil y Comercial de Mar del Plata, </w:t>
      </w:r>
      <w:r>
        <w:rPr>
          <w:i/>
          <w:lang w:val="es-AR" w:eastAsia="es-AR" w:bidi="es-AR"/>
        </w:rPr>
        <w:t xml:space="preserve">“DOWNIE...").</w:t>
      </w:r>
    </w:p>
    <w:p>
      <w:pPr>
        <w:pStyle w:val="[Normal]"/>
        <w:spacing w:line="360" w:lineRule="auto"/>
        <w:ind w:firstLine="1134"/>
        <w:jc w:val="both"/>
        <w:rPr>
          <w:i/>
          <w:lang w:val="es-AR" w:eastAsia="es-AR" w:bidi="es-AR"/>
        </w:rPr>
      </w:pPr>
      <w:r>
        <w:rPr>
          <w:lang w:val="es-AR" w:eastAsia="es-AR" w:bidi="es-AR"/>
        </w:rPr>
        <w:t xml:space="preserve">En este sentido, bien se ha dicho que:</w:t>
      </w:r>
      <w:r>
        <w:rPr>
          <w:i/>
          <w:lang w:val="es-AR" w:eastAsia="es-AR" w:bidi="es-AR"/>
        </w:rPr>
        <w:t xml:space="preserve"> "la aplicación automatizada de indexaciones no reclamadas por el titular del crédito, sin evaluar su resultado en cada caso concreto (según la evolución de las tasas e índices en los períodos implicados), constituye una práctica potencialmente problemática que incrementa un doble riesgo: (a) el primero, dictar decisiones incongruentes que afecten derechos fundamentales de los litigantes; (b) el segundo, asignarle a la jurisdicción un rol institucional que no le es propio, pues el juzgador termina por prescindir de la voluntad del titular de un derecho patrimonial disponible (quien, asesorado por un abogado de matrícula, elige libremente cómo proteger su acreencia frente a la inflación) y la reemplaza por una decisión estatal oficiosa que, paradójicamente, tiene aptitud para perjudicar o empeorar la situación de aquel a quien se intenta proteger (arts. 18 CN y 15 CPBA; mi voto en causa 170768 -"Banco de la Provincia de Buenos Aires c/ Cambre, Mauro"- sent. del 12/03/2021)"</w:t>
      </w:r>
      <w:r>
        <w:rPr>
          <w:lang w:val="es-AR" w:eastAsia="es-AR" w:bidi="es-AR"/>
        </w:rPr>
        <w:t xml:space="preserve"> (cit . Cámara de Apelaciones en lo Civil y Comercial de Mar del Plata, </w:t>
      </w:r>
      <w:r>
        <w:rPr>
          <w:i/>
          <w:lang w:val="es-AR" w:eastAsia="es-AR" w:bidi="es-AR"/>
        </w:rPr>
        <w:t xml:space="preserve">“DOWNIE...").</w:t>
      </w:r>
    </w:p>
    <w:p>
      <w:pPr>
        <w:pStyle w:val="[Normal]"/>
        <w:spacing w:line="360" w:lineRule="auto"/>
        <w:ind w:firstLine="1134"/>
        <w:jc w:val="both"/>
        <w:rPr>
          <w:lang w:val="es-AR" w:eastAsia="es-AR" w:bidi="es-AR"/>
        </w:rPr>
      </w:pPr>
      <w:r>
        <w:rPr>
          <w:lang w:val="es-AR" w:eastAsia="es-AR" w:bidi="es-AR"/>
        </w:rPr>
        <w:t xml:space="preserve">Finalmente, debe recordarse que la declaración de inconstitucionalidad (de ineludible aplicación a los fines de actualizar vía indexación) constituye una solución extrema que debe ceder ante la posibilidad de articular otros mecanismos que permitan arribar a una respuesta jurídica no lesiva de los derechos y garantías constitucionales.</w:t>
      </w:r>
    </w:p>
    <w:p>
      <w:pPr>
        <w:pStyle w:val="[Normal]"/>
        <w:spacing w:line="360" w:lineRule="auto"/>
        <w:ind w:firstLine="1134"/>
        <w:jc w:val="both"/>
        <w:rPr>
          <w:lang w:val="es-AR" w:eastAsia="es-AR" w:bidi="es-AR"/>
        </w:rPr>
      </w:pPr>
      <w:r>
        <w:rPr>
          <w:lang w:val="es-AR" w:eastAsia="es-AR" w:bidi="es-AR"/>
        </w:rPr>
        <w:t xml:space="preserve">En relación a ello, y vinculado a la temática en ciernes, la Corte Suprema de Justicia de la Provincia de Buenos Aires, en el caso </w:t>
      </w:r>
      <w:r>
        <w:rPr>
          <w:i/>
          <w:lang w:val="es-AR" w:eastAsia="es-AR" w:bidi="es-AR"/>
        </w:rPr>
        <w:t xml:space="preserve">"Barrios"</w:t>
      </w:r>
      <w:r>
        <w:rPr>
          <w:lang w:val="es-AR" w:eastAsia="es-AR" w:bidi="es-AR"/>
        </w:rPr>
        <w:t xml:space="preserve"> -que ya fuera citado-, estableció claramente que la declaración de inconstitucionalidad del artículo 7 de la ley 23.928 (que prohíbe la indexación) debe ser considerada como la última ratio. Antes de recurrir a esta medida excepcional, los jueces deben agotar otras alternativas y mecanismos legales disponibles para proteger el crédito afectado por la inflación.</w:t>
      </w:r>
    </w:p>
    <w:p>
      <w:pPr>
        <w:pStyle w:val="[Normal]"/>
        <w:spacing w:line="360" w:lineRule="auto"/>
        <w:ind w:firstLine="1134"/>
        <w:jc w:val="both"/>
        <w:rPr>
          <w:lang w:val="es-AR" w:eastAsia="es-AR" w:bidi="es-AR"/>
        </w:rPr>
      </w:pPr>
      <w:r>
        <w:rPr>
          <w:lang w:val="es-AR" w:eastAsia="es-AR" w:bidi="es-AR"/>
        </w:rPr>
        <w:t xml:space="preserve">Según el fallo, los jueces tienen mayor libertad para definir el mecanismo de protección del crédito mientras se debate en el proceso.  No solo pueden, sino que deben preferir cualquier solución no indexatoria, incluso mediante la aplicación analógica de normas.  La solución constitucional, es decir, la declaración de inconstitucionalidad y el reajuste del crédito por índice, fue, es y seguirá siendo la última opción disponible.</w:t>
      </w:r>
    </w:p>
    <w:p>
      <w:pPr>
        <w:pStyle w:val="[Normal]"/>
        <w:spacing w:line="360" w:lineRule="auto"/>
        <w:ind w:firstLine="1134"/>
        <w:jc w:val="both"/>
        <w:rPr>
          <w:lang w:val="es-AR" w:eastAsia="es-AR" w:bidi="es-AR"/>
        </w:rPr>
      </w:pPr>
      <w:r>
        <w:rPr>
          <w:lang w:val="es-AR" w:eastAsia="es-AR" w:bidi="es-AR"/>
        </w:rPr>
        <w:t xml:space="preserve">El ministro Soria ha sido enfático en este punto, indicando que solo excepcionalmente, y cuando esas herramientas o caminos alternativos no logren el fin propuesto y decanten en una intolerable afectación del derecho creditorio del actor, puede el tribunal declarar la inconstitucionalidad del art. 7 de la Ley 23.928, y siempre que las demás condiciones del caso lo justifiquen.</w:t>
      </w:r>
    </w:p>
    <w:p>
      <w:pPr>
        <w:pStyle w:val="[Normal]"/>
        <w:spacing w:line="360" w:lineRule="auto"/>
        <w:ind w:firstLine="1134"/>
        <w:jc w:val="both"/>
        <w:rPr>
          <w:lang w:val="es-AR" w:eastAsia="es-AR" w:bidi="es-AR"/>
        </w:rPr>
      </w:pPr>
      <w:r>
        <w:rPr>
          <w:lang w:val="es-AR" w:eastAsia="es-AR" w:bidi="es-AR"/>
        </w:rPr>
        <w:t xml:space="preserve">En virtud de ello, y atento a que no se ha logrado demostrar la ineficacia y/o insuficiencia de las restantes alternativas de actualización, propiciaré que se deje sin efecto la declaración de inconstitucionalidad y consecuente actualización dispuesta en la instancia de grado. Y en su lugar, disponer la aplicación de la tasa pasiva más alta fijada por el Banco de la Provincia de Buenos Aires en sus depósitos a treinta días, vigente al inicio de cada uno de los períodos comprendidos y, por aquellos días que no alcancen a cubrir el lapso señalado, el cálculo debe ser diario con igual tasa, desde la fecha de la sentencia de primera instancia hasta el día de su efectivo pago (conf. arts. 7, 768 inc. c) C.C.C.; 622, 623, Cód. Civ.)".</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1) Acoger parcialmente el recurso de apelación de la parte actora y del demandado en punto al seguro de responsabilidad civil por parte de citada en garantía; en consecuencia revocar esa porción del decisorio de grado, desestimando la defensa de no seguro y exclusión de garantía opuesta por la aseguradora en virtud  del incumplimiento del plazo del art. 56 de la Ley de Seguros y motivada en los considerandos del presente. En consecuencia declarando la responsabilidad en el evento también de la citada en garantía en la medida del seguro contratado y en la porción de aportes causales que le corresponden al demandado.</w:t>
      </w:r>
    </w:p>
    <w:p>
      <w:pPr>
        <w:pStyle w:val="[Normal]"/>
        <w:spacing w:line="360" w:lineRule="auto"/>
        <w:ind w:firstLine="1134"/>
        <w:jc w:val="both"/>
        <w:rPr>
          <w:lang w:val="es-AR" w:eastAsia="es-AR" w:bidi="es-AR"/>
        </w:rPr>
      </w:pPr>
      <w:r>
        <w:rPr>
          <w:lang w:val="es-AR" w:eastAsia="es-AR" w:bidi="es-AR"/>
        </w:rPr>
        <w:t xml:space="preserve">2) Hacer lugar al recurso de apelación del demandado en punto al rubro incapacidad física modificando la cuantificación y fijándola en un 50% de lo dado en primera instancia, y asimismo admitir  la improcedencia de la declaración de constitucionalidad sobrevenida y ordenar se practiquen los ajustes con la modalidad dispuesta en el capítulo  IX).</w:t>
      </w:r>
    </w:p>
    <w:p>
      <w:pPr>
        <w:pStyle w:val="[Normal]"/>
        <w:spacing w:line="360" w:lineRule="auto"/>
        <w:ind w:firstLine="1134"/>
        <w:jc w:val="both"/>
        <w:rPr>
          <w:lang w:val="es-AR" w:eastAsia="es-AR" w:bidi="es-AR"/>
        </w:rPr>
      </w:pPr>
      <w:r>
        <w:rPr>
          <w:lang w:val="es-AR" w:eastAsia="es-AR" w:bidi="es-AR"/>
        </w:rPr>
        <w:t xml:space="preserve">3) Confirmar en todo lo demás la sentencia apelada.</w:t>
      </w:r>
    </w:p>
    <w:p>
      <w:pPr>
        <w:pStyle w:val="[Normal]"/>
        <w:spacing w:line="360" w:lineRule="auto"/>
        <w:ind w:firstLine="1134"/>
        <w:jc w:val="both"/>
        <w:rPr>
          <w:lang w:val="es-AR" w:eastAsia="es-AR" w:bidi="es-AR"/>
        </w:rPr>
      </w:pPr>
      <w:r>
        <w:rPr>
          <w:lang w:val="es-AR" w:eastAsia="es-AR" w:bidi="es-AR"/>
        </w:rPr>
        <w:t xml:space="preserve">4) Costas a la parte demandada (demandado y citada en garantía) aplicando el principio general de la derrota (art. 68 del CPCC) y el progreso general de la acción del actor.</w:t>
      </w:r>
    </w:p>
    <w:p>
      <w:pPr>
        <w:pStyle w:val="[Normal]"/>
        <w:spacing w:line="360" w:lineRule="auto"/>
        <w:ind w:firstLine="1134"/>
        <w:jc w:val="both"/>
        <w:rPr>
          <w:lang w:val="es-AR" w:eastAsia="es-AR" w:bidi="es-AR"/>
        </w:rPr>
      </w:pPr>
      <w:r>
        <w:rPr>
          <w:lang w:val="es-AR" w:eastAsia="es-AR" w:bidi="es-AR"/>
        </w:rPr>
        <w:t xml:space="preserve">Diferir la regulación de honorarios hasta tanto obre en autos liquidación firme (art. 31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1) Acoger parcialmente el recurso de apelación de la parte actora y del demandado en punto al seguro de responsabilidad civil por parte de citada en garantía; en consecuencia revocar esa porción del decisorio de grado, desestimando la defensa de no seguro y exclusión de garantía opuesta por la aseguradora en virtud del incumplimiento del plazo del art. 56 de la Ley de Seguros y motivada en los considerandos del presente. En consecuencia declarando la responsabilidad en el evento también de la citada en garantía en la medida del seguro contratado y en la porción de aportes causales que le corresponden al demandado.</w:t>
      </w:r>
    </w:p>
    <w:p>
      <w:pPr>
        <w:pStyle w:val="[Normal]"/>
        <w:spacing w:line="360" w:lineRule="auto"/>
        <w:ind w:firstLine="1134"/>
        <w:jc w:val="both"/>
        <w:rPr>
          <w:lang w:val="es-AR" w:eastAsia="es-AR" w:bidi="es-AR"/>
        </w:rPr>
      </w:pPr>
      <w:r>
        <w:rPr>
          <w:lang w:val="es-AR" w:eastAsia="es-AR" w:bidi="es-AR"/>
        </w:rPr>
        <w:t xml:space="preserve">2) Hacer lugar al recurso de apelación del demandado en punto al rubro incapacidad física modificando la cuantificación y fijándola en un 50% de lo dado en primera instancia, y asimismo admitir  la improcedencia de la declaración de constitucionalidad sobrevenida y ordenar se practiquen los ajustes con la modalidad dispuesta en el capítulo IX).</w:t>
      </w:r>
    </w:p>
    <w:p>
      <w:pPr>
        <w:pStyle w:val="[Normal]"/>
        <w:spacing w:line="360" w:lineRule="auto"/>
        <w:ind w:firstLine="1134"/>
        <w:jc w:val="both"/>
        <w:rPr>
          <w:lang w:val="es-AR" w:eastAsia="es-AR" w:bidi="es-AR"/>
        </w:rPr>
      </w:pPr>
      <w:r>
        <w:rPr>
          <w:lang w:val="es-AR" w:eastAsia="es-AR" w:bidi="es-AR"/>
        </w:rPr>
        <w:t xml:space="preserve">3) Confirmar en todo lo demás la sentencia apelada.</w:t>
      </w:r>
    </w:p>
    <w:p>
      <w:pPr>
        <w:pStyle w:val="[Normal]"/>
        <w:spacing w:line="360" w:lineRule="auto"/>
        <w:ind w:firstLine="1134"/>
        <w:jc w:val="both"/>
        <w:rPr>
          <w:lang w:val="es-AR" w:eastAsia="es-AR" w:bidi="es-AR"/>
        </w:rPr>
      </w:pPr>
      <w:r>
        <w:rPr>
          <w:lang w:val="es-AR" w:eastAsia="es-AR" w:bidi="es-AR"/>
        </w:rPr>
        <w:t xml:space="preserve">4) Costas a la parte demandada (demandado y citada en garantía) aplicando el principio general de la derrota (art. 68 del CPCC) y el progreso general de la acción del actor.</w:t>
      </w:r>
    </w:p>
    <w:p>
      <w:pPr>
        <w:pStyle w:val="[Normal]"/>
        <w:spacing w:line="360" w:lineRule="auto"/>
        <w:ind w:firstLine="1134"/>
        <w:jc w:val="both"/>
        <w:rPr>
          <w:b/>
          <w:u w:val="single"/>
          <w:lang w:val="es-AR" w:eastAsia="es-AR" w:bidi="es-AR"/>
        </w:rPr>
      </w:pPr>
      <w:r>
        <w:rPr>
          <w:lang w:val="es-AR" w:eastAsia="es-AR" w:bidi="es-AR"/>
        </w:rPr>
        <w:t xml:space="preserve">Diferir la regulación de honorarios hasta tanto obre en autos liquidación firme (art. 31 ley 14967).</w:t>
      </w:r>
    </w:p>
    <w:p>
      <w:pPr>
        <w:pStyle w:val="[Normal]"/>
        <w:spacing w:line="360" w:lineRule="auto"/>
        <w:ind w:firstLine="1134"/>
        <w:jc w:val="both"/>
        <w:rPr>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20270341951@NOTIFICACIONES.SCBA.GOV.AR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20342407669@NOTIFICACIONES.SCBA.GOV.AR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20338138157@NOTIFICACIONES.SCBA.GOV.AR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11/12/2025 12:43:04 -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11/12/2025 12:51:40 -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11/12/2025 13:45:33 -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‰76")è&amp;cA,]Š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232202090006673312</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11/12/2025 13:45:52 hs. bajo el número RS-178-2025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