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5853-25</w:t>
      </w:r>
      <w:r>
        <w:rPr>
          <w:lang w:val="es-AR" w:eastAsia="es-AR" w:bidi="es-AR"/>
        </w:rPr>
        <w:t xml:space="preserve"> caratulada </w:t>
      </w:r>
      <w:r>
        <w:rPr>
          <w:b/>
          <w:lang w:val="es-AR" w:eastAsia="es-AR" w:bidi="es-AR"/>
        </w:rPr>
        <w:t xml:space="preserve">"</w:t>
      </w:r>
      <w:r>
        <w:rPr>
          <w:b/>
          <w:color w:val="000000"/>
          <w:lang w:val="es-AR" w:eastAsia="es-AR" w:bidi="es-AR"/>
        </w:rPr>
        <w:t xml:space="preserve">D I S C/ N J M S/ CUIDADO PERSONAL DE HIJOS</w:t>
      </w:r>
      <w:r>
        <w:rPr>
          <w:b/>
          <w:lang w:val="es-AR" w:eastAsia="es-AR" w:bidi="es-AR"/>
        </w:rPr>
        <w:t xml:space="preserve">"</w:t>
      </w:r>
      <w:r>
        <w:rPr>
          <w:lang w:val="es-AR" w:eastAsia="es-AR" w:bidi="es-AR"/>
        </w:rPr>
        <w:t xml:space="preserve">, Expte. </w:t>
      </w:r>
      <w:r>
        <w:rPr>
          <w:color w:val="000000"/>
          <w:lang w:val="es-AR" w:eastAsia="es-AR" w:bidi="es-AR"/>
        </w:rPr>
        <w:t xml:space="preserve">42.351</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lang w:val="es-AR" w:eastAsia="es-AR" w:bidi="es-AR"/>
        </w:rPr>
        <w:t xml:space="preserve">El Sr. Juez de la anterior instancia el 18/7/2025 se declaró</w:t>
      </w:r>
      <w:r>
        <w:rPr>
          <w:color w:val="000000"/>
          <w:lang w:val="es-AR" w:eastAsia="es-AR" w:bidi="es-AR"/>
        </w:rPr>
        <w:t xml:space="preserve"> incompetente para continuar entendiendo en la presente causa y firme que se encuentre, procederá a la remisión al Juzgado de Paz con competencia en la Localidad de Italo, Departamento de Gral. Roca, Pcia.  de Córdoba.-</w:t>
      </w:r>
    </w:p>
    <w:p>
      <w:pPr>
        <w:pStyle w:val="[Normal]"/>
        <w:spacing w:line="360" w:lineRule="auto"/>
        <w:ind w:firstLine="1134"/>
        <w:jc w:val="both"/>
        <w:rPr>
          <w:lang w:val="es-AR" w:eastAsia="es-AR" w:bidi="es-AR"/>
        </w:rPr>
      </w:pPr>
      <w:r>
        <w:rPr>
          <w:lang w:val="es-AR" w:eastAsia="es-AR" w:bidi="es-AR"/>
        </w:rPr>
        <w:t xml:space="preserve">Tal decisorio fue objeto del recurso de apelación el día 8-8-2025 por la parte demandada, concedido el 19-8-2025 en relación y con efecto suspensivo. El 20-8-205 fundo su recurso del que se dió traslado a la parte actora el 27/8/2025 y el 16-9-2025 se dio vista a la Sra. Asesora de Menores e incapaces.  El 4-9-2025 la parte actora evacuo el traslado y el 22-9-2025 la Sra. Asesora de Menores e incapaces. </w:t>
      </w:r>
    </w:p>
    <w:p>
      <w:pPr>
        <w:pStyle w:val="[Normal]"/>
        <w:spacing w:line="360" w:lineRule="auto"/>
        <w:ind w:firstLine="1134"/>
        <w:jc w:val="both"/>
        <w:rPr>
          <w:lang w:val="es-AR" w:eastAsia="es-AR" w:bidi="es-AR"/>
        </w:rPr>
      </w:pPr>
      <w:r>
        <w:rPr>
          <w:lang w:val="es-AR" w:eastAsia="es-AR" w:bidi="es-AR"/>
        </w:rPr>
        <w:t xml:space="preserve">Se agravia el recurrente de la resolución puesta en crisis por considerar a la misma injusta, irrazonable e infundada. Achaca al juzgador quien consideró para resolver el traslado de la niña realizado por la progenitora -sin su consentimiento- en el mes de Junio del corriente y fundado en una denuncia de violencia que la Sra. D inició contra el demandado. Señala que la misma es infundada, pues no se demostró ningún tipo de violencia ejercida por el recurrente contra la niña ni contra la accionante. Añade que la causa fue cerrada en agosto de este año transcribiendo la resolución dictada por el juzgador en el Expediente 42.286.</w:t>
      </w:r>
    </w:p>
    <w:p>
      <w:pPr>
        <w:pStyle w:val="[Normal]"/>
        <w:spacing w:line="360" w:lineRule="auto"/>
        <w:ind w:firstLine="1134"/>
        <w:jc w:val="both"/>
        <w:rPr>
          <w:lang w:val="es-AR" w:eastAsia="es-AR" w:bidi="es-AR"/>
        </w:rPr>
      </w:pPr>
      <w:r>
        <w:rPr>
          <w:lang w:val="es-AR" w:eastAsia="es-AR" w:bidi="es-AR"/>
        </w:rPr>
        <w:t xml:space="preserve">Achaca el decisorio del a quo al considerar que no se hizo un análisis riguroso de las hechos acontecidos ni del derecho vulnerado de las personas involucradas, pues tanto la niña como sus progenitores siempre vivieron en la localidad de La Violeta, pues si bien ambos progenitores son oriundos de la Pcia. de Córdoba, en febrero del 2018 se instalaron por cuestiones laborales en La Violeta, partido de Pergamino. Aduna que es la misma actora quien reconoce tal circunstancia y que pone de manifiesto que se mudó con la niña a la localidad de Italo, Pcia. de Córdoba. Cita doctrina y jurisprudencia en apoyo de su planteo y solicita se revoque el fallo objeto de recurso.</w:t>
      </w:r>
    </w:p>
    <w:p>
      <w:pPr>
        <w:pStyle w:val="[Normal]"/>
        <w:spacing w:line="360" w:lineRule="auto"/>
        <w:ind w:firstLine="1134"/>
        <w:jc w:val="both"/>
        <w:rPr>
          <w:lang w:val="es-AR" w:eastAsia="es-AR" w:bidi="es-AR"/>
        </w:rPr>
      </w:pPr>
      <w:r>
        <w:rPr>
          <w:lang w:val="es-AR" w:eastAsia="es-AR" w:bidi="es-AR"/>
        </w:rPr>
        <w:t xml:space="preserve">Corrido el traslado, la contraparte contesta los fundamentos vertidos por el recurrente, da su versión de los hechos la cual evidencia un estado de necesidad que la obligó a mudarse con su padre, abuelo de la niña a la localidad de Italo, donde la niña concurre a la escuela Dr. Benjamín Dupont,  realiza sus terapias y se encuentra actualmente adaptada y feliz en su nuevo hogar. Cita jurisprudencia y solicita se confirme la sentencia atacada.</w:t>
      </w:r>
    </w:p>
    <w:p>
      <w:pPr>
        <w:pStyle w:val="[Normal]"/>
        <w:spacing w:line="360" w:lineRule="auto"/>
        <w:ind w:firstLine="1134"/>
        <w:jc w:val="both"/>
        <w:rPr>
          <w:lang w:val="es-AR" w:eastAsia="es-AR" w:bidi="es-AR"/>
        </w:rPr>
      </w:pPr>
      <w:r>
        <w:rPr>
          <w:lang w:val="es-AR" w:eastAsia="es-AR" w:bidi="es-AR"/>
        </w:rPr>
        <w:t xml:space="preserve">Conferida la vista a la Sra. Asesora de Incapaces interviniente, la misma se expidió en favor de la resolución atacada, pues razones de inmediación, concentración, celeridad y economía procesal respecto a la persona menor deben imperar para rechazar la pieza recursiva (P.E. 22/9/2025).</w:t>
      </w:r>
    </w:p>
    <w:p>
      <w:pPr>
        <w:pStyle w:val="[Normal]"/>
        <w:spacing w:line="360" w:lineRule="auto"/>
        <w:ind w:firstLine="1134"/>
        <w:jc w:val="both"/>
        <w:rPr>
          <w:lang w:val="es-AR" w:eastAsia="es-AR" w:bidi="es-AR"/>
        </w:rPr>
      </w:pPr>
      <w:r>
        <w:rPr>
          <w:lang w:val="es-AR" w:eastAsia="es-AR" w:bidi="es-AR"/>
        </w:rPr>
        <w:t xml:space="preserve">Elevados los autos a esta Alzada con fecha 9-10-2025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El planteo traído a resolver es análogo a un antecedente que tramitó por ante esta Alzada, Causa N° 4654-22 caratulada "A A X C/ B M C S/ Cuidado Personal De Hijos", Expte. N° 1873 del Juzgado de Familia n° 1, dictada en fecha 29/9/2022 RS-116-2022, por lo que habré de reproducir aquí, en lo pertinente, los conceptos allí desarrollados, anticipando que no le asiste razón al apelante en la crítica recursiva propiciada contra la resolución. </w:t>
      </w:r>
    </w:p>
    <w:p>
      <w:pPr>
        <w:pStyle w:val="[Normal]"/>
        <w:spacing w:line="360" w:lineRule="auto"/>
        <w:ind w:firstLine="1134"/>
        <w:jc w:val="both"/>
        <w:rPr>
          <w:i/>
          <w:color w:val="000000"/>
          <w:lang w:val="es-AR" w:eastAsia="es-AR" w:bidi="es-AR"/>
        </w:rPr>
      </w:pPr>
      <w:r>
        <w:rPr>
          <w:i/>
          <w:lang w:val="es-AR" w:eastAsia="es-AR" w:bidi="es-AR"/>
        </w:rPr>
        <w:t xml:space="preserve">"Ingresando al tratamiento de la cuestión traída, he de señalar que </w:t>
      </w:r>
      <w:r>
        <w:rPr>
          <w:i/>
          <w:color w:val="000000"/>
          <w:lang w:val="es-AR" w:eastAsia="es-AR" w:bidi="es-AR"/>
        </w:rPr>
        <w:t xml:space="preserve">la competencia territorial no resulta prorrogable, dado el carácter de orden público de las normas que regulan  la materia, que se vincula con la garantía de los jueces naturales contemplada por los arts. 18 de la Const. Nac., 9 y 15 de la Const. Pcia. Bs. As..</w:t>
      </w:r>
    </w:p>
    <w:p>
      <w:pPr>
        <w:pStyle w:val="[Normal]"/>
        <w:spacing w:line="360" w:lineRule="auto"/>
        <w:ind w:firstLine="1134"/>
        <w:jc w:val="both"/>
        <w:rPr>
          <w:color w:val="000000"/>
          <w:lang w:val="es-AR" w:eastAsia="es-AR" w:bidi="es-AR"/>
        </w:rPr>
      </w:pPr>
      <w:r>
        <w:rPr>
          <w:i/>
          <w:color w:val="000000"/>
          <w:lang w:val="es-AR" w:eastAsia="es-AR" w:bidi="es-AR"/>
        </w:rPr>
        <w:t xml:space="preserve">En efecto, el código de fondo en el art. 716 establece que en los procesos referidos a la responsabilidad parental, guarda, cuidado, régimen de comunicación, alimentos, adopción y otros que deciden en forma principal o que modifican lo resuelto en otra jurisdicción del territorio nacional sobre los derechos de niños, niñas y adolescentes, es competente el juez del lugar donde la persona menor de edad tiene su centro de vida (cfr. SCBA LP Rc 120271 I 07/10/2015). "</w:t>
      </w:r>
      <w:r>
        <w:rPr>
          <w:color w:val="000000"/>
          <w:lang w:val="es-AR" w:eastAsia="es-AR" w:bidi="es-AR"/>
        </w:rPr>
        <w:t xml:space="preserve">(Causa citada precedentemente).</w:t>
      </w:r>
    </w:p>
    <w:p>
      <w:pPr>
        <w:pStyle w:val="[Normal]"/>
        <w:spacing w:line="360" w:lineRule="auto"/>
        <w:ind w:firstLine="1134"/>
        <w:jc w:val="both"/>
        <w:rPr>
          <w:color w:val="000000"/>
          <w:lang w:val="es-AR" w:eastAsia="es-AR" w:bidi="es-AR"/>
        </w:rPr>
      </w:pPr>
      <w:r>
        <w:rPr>
          <w:lang w:val="es-AR" w:eastAsia="es-AR" w:bidi="es-AR"/>
        </w:rPr>
        <w:t xml:space="preserve">Sentado lo anterior, en la especie se encuentra involucrada</w:t>
      </w:r>
      <w:r>
        <w:rPr>
          <w:color w:val="000000"/>
          <w:lang w:val="es-AR" w:eastAsia="es-AR" w:bidi="es-AR"/>
        </w:rPr>
        <w:t xml:space="preserve"> una menor, es por ello que debe primar en el asunto el interés superior del niño definido como </w:t>
      </w:r>
      <w:r>
        <w:rPr>
          <w:i/>
          <w:color w:val="000000"/>
          <w:lang w:val="es-AR" w:eastAsia="es-AR" w:bidi="es-AR"/>
        </w:rPr>
        <w:t xml:space="preserve">"la máxima satisfacción, integral y simultánea de los derechos y garantías reconocidos en la ley</w:t>
      </w:r>
      <w:r>
        <w:rPr>
          <w:color w:val="000000"/>
          <w:lang w:val="es-AR" w:eastAsia="es-AR" w:bidi="es-AR"/>
        </w:rPr>
        <w:t xml:space="preserve">" (art. 3, ley 26.061), el cual debe respetar entre otras cuestiones -dice el inc. f- su "centro de vida", entendiéndose por éste "</w:t>
      </w:r>
      <w:r>
        <w:rPr>
          <w:i/>
          <w:color w:val="000000"/>
          <w:lang w:val="es-AR" w:eastAsia="es-AR" w:bidi="es-AR"/>
        </w:rPr>
        <w:t xml:space="preserve">el lugar donde las niñas, niños y adolescentes hubiesen transcurrido en condiciones legítimas la mayor parte de su existencia</w:t>
      </w:r>
      <w:r>
        <w:rPr>
          <w:color w:val="000000"/>
          <w:lang w:val="es-AR" w:eastAsia="es-AR" w:bidi="es-AR"/>
        </w:rPr>
        <w:t xml:space="preserve">". A este mismo principio recurre la comunidad jurídica internacional, cuando los asuntos de competencia afectan a la niñez (vgr. Conferencias de La Haya de 1894 sobre tutela, de 1961 y de 1966 sobre competencia y ley aplicable en materia de protección de menores y de 1980 sobre aspectos civiles de sustracción internacional de menores). </w:t>
      </w:r>
    </w:p>
    <w:p>
      <w:pPr>
        <w:pStyle w:val="[Normal]"/>
        <w:spacing w:line="360" w:lineRule="auto"/>
        <w:ind w:firstLine="1134"/>
        <w:jc w:val="both"/>
        <w:rPr>
          <w:color w:val="000000"/>
          <w:lang w:val="es-AR" w:eastAsia="es-AR" w:bidi="es-AR"/>
        </w:rPr>
      </w:pPr>
      <w:r>
        <w:rPr>
          <w:color w:val="000000"/>
          <w:lang w:val="es-AR" w:eastAsia="es-AR" w:bidi="es-AR"/>
        </w:rPr>
        <w:t xml:space="preserve">Al respecto ha señalado la SCBA  </w:t>
      </w:r>
      <w:r>
        <w:rPr>
          <w:i/>
          <w:color w:val="000000"/>
          <w:lang w:val="es-AR" w:eastAsia="es-AR" w:bidi="es-AR"/>
        </w:rPr>
        <w:t xml:space="preserve">"Las normas sobre competencia requieren ser interpretadas actualmente con una perspectiva diferente al régimen anterior a la reforma constitucional de 1994. La Convención sobre los Derechos del Niño, en cuanto destaca la idea de sujeto de derechos y en su condición de persona, requiere una individualización autónoma e independiente de sus representantes legales, sin perjuicio de su condición de incapaz y, como tal, sujeto a la representación legal. Se desplaza el centro de imputación: es el niño quien debe indicar el eje a tener en cuenta para determinar su domicilio legal, sin perjuicio del que tienen sus representantes legales. El punto de conexión debe ser su "centro de vida", el lugar de su residencia habitual (conf. Solari, Néstor E., comentario a fallo en LL-2007-B, 623)".</w:t>
      </w:r>
      <w:r>
        <w:rPr>
          <w:color w:val="000000"/>
          <w:lang w:val="es-AR" w:eastAsia="es-AR" w:bidi="es-AR"/>
        </w:rPr>
        <w:t xml:space="preserve"> (SCBA, C 115227 S 14-3-2012,  JUBA B3901777).</w:t>
      </w:r>
    </w:p>
    <w:p>
      <w:pPr>
        <w:pStyle w:val="[Normal]"/>
        <w:spacing w:line="360" w:lineRule="auto"/>
        <w:ind w:firstLine="1134"/>
        <w:jc w:val="both"/>
        <w:rPr>
          <w:color w:val="000000"/>
          <w:lang w:val="es-AR" w:eastAsia="es-AR" w:bidi="es-AR"/>
        </w:rPr>
      </w:pPr>
      <w:r>
        <w:rPr>
          <w:color w:val="000000"/>
          <w:lang w:val="es-AR" w:eastAsia="es-AR" w:bidi="es-AR"/>
        </w:rPr>
        <w:t xml:space="preserve">La Corte Suprema tiene dicho reiteradamente que si los jueces que entablan la disputa están en situación legal análoga para asumir la función tutelar, la elección debe hacerse ponderando cuál de ellos se encuentra en mejores condiciones de alcanzar la protección integral de los derechos del niño (Fallos 327:3987, con remisión al dictamen de la Procuración y sus citas y Ferreyra, Miguel Ángel, sent. del 20-VIII-2008). En su fundamentación, el superior Tribunal ha utilizado también el principio de inmediatez para otorgar la competencia al juez en donde efectivamente viva el menor (Fallos 324:2486, 2487; 325:339; LL-2009-B. 410).</w:t>
      </w:r>
    </w:p>
    <w:p>
      <w:pPr>
        <w:pStyle w:val="[Normal]"/>
        <w:spacing w:line="360" w:lineRule="auto"/>
        <w:ind w:firstLine="1134"/>
        <w:jc w:val="both"/>
        <w:rPr>
          <w:color w:val="000000"/>
          <w:lang w:val="es-AR" w:eastAsia="es-AR" w:bidi="es-AR"/>
        </w:rPr>
      </w:pPr>
      <w:r>
        <w:rPr>
          <w:color w:val="000000"/>
          <w:lang w:val="es-AR" w:eastAsia="es-AR" w:bidi="es-AR"/>
        </w:rPr>
        <w:t xml:space="preserve">La noción de centro de vida evidencia que será el magistrado del fuero con jurisdicción en el lugar más cercano a ese ámbito, el que luce mejor posicionado para conocer y resolver en la forma más urgente la problemática de los niños en salvaguarda de sus derechos fundamentales (arg. arts. 3, 9 Y 12 Convención sobre los Derechos del Niño; arts. 2, 3 y concs. ley 26.061; arts. 4, 5, 6, 7 y concs. ley 13298), atendiendo así al principio de inmediatez que corresponde meritar en estos casos. (confr. en tal sent. "Código Civil y Comercial de la Nación", analizado, comparado y concordado, Alberto Bueres, ed. Hammurabi, t. 1, p.460/461)</w:t>
      </w:r>
    </w:p>
    <w:p>
      <w:pPr>
        <w:pStyle w:val="[Normal]"/>
        <w:spacing w:line="360" w:lineRule="auto"/>
        <w:ind w:firstLine="1134"/>
        <w:jc w:val="both"/>
        <w:rPr>
          <w:lang w:val="es-AR" w:eastAsia="es-AR" w:bidi="es-AR"/>
        </w:rPr>
      </w:pPr>
      <w:r>
        <w:rPr>
          <w:lang w:val="es-AR" w:eastAsia="es-AR" w:bidi="es-AR"/>
        </w:rPr>
        <w:t xml:space="preserve">En el caso, trátase de la localidad de Italo, Provincia de Córdoba, donde la menor -de 7 años-, vive desde hace varios meses, conforme los propios dichos de las partes, que reconocen como fecha de traslado julio del corriente año. (P.E. 20/8/2025 y 4/9/2025)- </w:t>
      </w:r>
    </w:p>
    <w:p>
      <w:pPr>
        <w:pStyle w:val="[Normal]"/>
        <w:spacing w:line="360" w:lineRule="auto"/>
        <w:ind w:firstLine="1134"/>
        <w:jc w:val="both"/>
        <w:rPr>
          <w:lang w:val="es-AR" w:eastAsia="es-AR" w:bidi="es-AR"/>
        </w:rPr>
      </w:pPr>
      <w:r>
        <w:rPr>
          <w:lang w:val="es-AR" w:eastAsia="es-AR" w:bidi="es-AR"/>
        </w:rPr>
        <w:t xml:space="preserve">Así también fue requerido por la Sra. Asesora de Incapaces en su dictamen, quien citando el art. 716 del C.C.C.N. solicitó que tramite por ante el Juez que corresponda de la localidad donde reside su asistida, esto es en Italo, Pcia. de Cordoba (P.E. fecha 22/9/2025).</w:t>
      </w:r>
    </w:p>
    <w:p>
      <w:pPr>
        <w:pStyle w:val="[Normal]"/>
        <w:spacing w:line="360" w:lineRule="auto"/>
        <w:ind w:firstLine="1134"/>
        <w:jc w:val="both"/>
        <w:rPr>
          <w:lang w:val="es-AR" w:eastAsia="es-AR" w:bidi="es-AR"/>
        </w:rPr>
      </w:pPr>
      <w:r>
        <w:rPr>
          <w:lang w:val="es-AR" w:eastAsia="es-AR" w:bidi="es-AR"/>
        </w:rPr>
        <w:t xml:space="preserve">No he de dejar de mencionar que la conflictiva entre las partes fue abordado en las presentes actuaciones como así también en el marco de la causa sobre violencia, la que ha referenciado el operador de origen, en donde se acreditó que el demandado se fue  del inmueble donde convivía con su esposa y su hija, renunció a su trabajo y que actualmente la menor vive con su madre en otra provincia desde el mes de julio del corriente año,</w:t>
      </w:r>
    </w:p>
    <w:p>
      <w:pPr>
        <w:pStyle w:val="[Normal]"/>
        <w:spacing w:line="360" w:lineRule="auto"/>
        <w:ind w:firstLine="1134"/>
        <w:jc w:val="both"/>
        <w:rPr>
          <w:lang w:val="es-AR" w:eastAsia="es-AR" w:bidi="es-AR"/>
        </w:rPr>
      </w:pPr>
      <w:r>
        <w:rPr>
          <w:lang w:val="es-AR" w:eastAsia="es-AR" w:bidi="es-AR"/>
        </w:rPr>
        <w:t xml:space="preserve">Por último la necesaria inmediación, concentración, celeridad y economía procesal en relación a las partes y en especial al menor, no tornan aconsejable la radicación en organismo con asiento en otra ciudad sino por el contrario  en el Juzgado que corresponda de la localidad de Italo, Provincia de Córdoba, en consecuencia propongo al acuerdo de mi colega, la confirmación en todas sus partes de la resolución recurrida.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Sr. Juez Roberto Degleue por análogos fundamentos  vota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por el progenitor en punto a la declaración de incompetencia la que desde aquí se confirma.  Con costas al demandado devinto (art. 68/69 CPCC).-</w:t>
      </w:r>
    </w:p>
    <w:p>
      <w:pPr>
        <w:pStyle w:val="[Normal]"/>
        <w:spacing w:line="36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A la misma cuestión el Sr. Juez Roberto M. Degleue por análogos fundamentos  vota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deducido por el progenitor en punto a la declaración de incompetencia la que desde aquí se confirma. </w:t>
      </w:r>
    </w:p>
    <w:p>
      <w:pPr>
        <w:pStyle w:val="[Normal]"/>
        <w:spacing w:line="360" w:lineRule="auto"/>
        <w:ind w:firstLine="1134"/>
        <w:jc w:val="both"/>
        <w:rPr>
          <w:lang w:val="es-AR" w:eastAsia="es-AR" w:bidi="es-AR"/>
        </w:rPr>
      </w:pPr>
      <w:r>
        <w:rPr>
          <w:lang w:val="es-AR" w:eastAsia="es-AR" w:bidi="es-AR"/>
        </w:rPr>
        <w:t xml:space="preserve">Con costas al demandado devinto (art. 68/9 del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