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5719-25</w:t>
      </w:r>
      <w:r>
        <w:rPr>
          <w:lang w:val="es-AR" w:eastAsia="es-AR" w:bidi="es-AR"/>
        </w:rPr>
        <w:t xml:space="preserve"> caratulada </w:t>
      </w:r>
      <w:r>
        <w:rPr>
          <w:b/>
          <w:lang w:val="es-AR" w:eastAsia="es-AR" w:bidi="es-AR"/>
        </w:rPr>
        <w:t xml:space="preserve">"</w:t>
      </w:r>
      <w:r>
        <w:rPr>
          <w:b/>
          <w:color w:val="000000"/>
          <w:lang w:val="es-AR" w:eastAsia="es-AR" w:bidi="es-AR"/>
        </w:rPr>
        <w:t xml:space="preserve">FRIGERIO MELINA SOLEDAD C/ PIERMARIOLI EDUARDO ALBERTO Y OTRO/A S/ DAÑOS Y PERJ.AUTOM. C/LES. O MUERTE (EXC.ESTADO)</w:t>
      </w:r>
      <w:r>
        <w:rPr>
          <w:b/>
          <w:lang w:val="es-AR" w:eastAsia="es-AR" w:bidi="es-AR"/>
        </w:rPr>
        <w:t xml:space="preserve">"</w:t>
      </w:r>
      <w:r>
        <w:rPr>
          <w:lang w:val="es-AR" w:eastAsia="es-AR" w:bidi="es-AR"/>
        </w:rPr>
        <w:t xml:space="preserve">, Expte. </w:t>
      </w:r>
      <w:r>
        <w:rPr>
          <w:color w:val="000000"/>
          <w:lang w:val="es-AR" w:eastAsia="es-AR" w:bidi="es-AR"/>
        </w:rPr>
        <w:t xml:space="preserve">77.648</w:t>
      </w:r>
      <w:r>
        <w:rPr>
          <w:color w:val="000000"/>
          <w:lang w:val="es-AR" w:eastAsia="es-AR" w:bidi="es-AR"/>
        </w:rPr>
        <w:t xml:space="preserve"> </w:t>
      </w:r>
      <w:r>
        <w:rPr>
          <w:lang w:val="es-AR" w:eastAsia="es-AR" w:bidi="es-AR"/>
        </w:rPr>
        <w:t xml:space="preserve">del Juzgado en lo Civil y Comercial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declaró la inconstitucionalidad sobrevenida de los arts. 7 y 10 de la ley 23.928, según ley 25.561, del mismo modo que su inaplicabilidad al caso, a fin de disponer una equitativa actualización del crédito adeudado. Hizo lugar a la demanda incoada y, en consecuencia, condenó a la parte demandada y la citada en garantía, Sr. Eduardo Alberto Piermarioli y a Río Uruguay Seguros Cooperativa Limitada, a abonar la parte actora, Sra. Melina Soledad Frigerio, dentro de los diez (10) días de notificada la presente, la suma de  VEINTISIETE MILLONES SETECIENTOS ONCE MIL CIENTO CUARENTA Y OCHO Pesos ($27.711.148), actualizable según lo dispuesto en el considerando VIII, con más sus respectivos intereses calculados en la forma establecida en el considerando VII, a partir de la fecha del hecho (23/01/2020) y hasta el momento de su efectivo pago (S.C.B.A., Ac. 2078, C-95.720 del 15/09/2010 y L-118615 del 11/03/2015) (art. 768 C.C.C.N.). Aplicó las costas a la parte demandada y a la citada en garantía que resultan vencidas (art. 68 C.P.C.). Difirió la regulación de honorarios de los letrados intervinientes y de los peritos, hasta que medie firme la respectiva liquidación de intereses y gastos (art. 51 ley 14.967).-</w:t>
      </w:r>
    </w:p>
    <w:p>
      <w:pPr>
        <w:pStyle w:val="[Normal]"/>
        <w:spacing w:line="360" w:lineRule="auto"/>
        <w:ind w:firstLine="1134"/>
        <w:jc w:val="both"/>
        <w:rPr>
          <w:lang w:val="es-AR" w:eastAsia="es-AR" w:bidi="es-AR"/>
        </w:rPr>
      </w:pPr>
      <w:r>
        <w:rPr>
          <w:lang w:val="es-AR" w:eastAsia="es-AR" w:bidi="es-AR"/>
        </w:rPr>
        <w:t xml:space="preserve">Tal decisorio, fue objeto de los recursos de apelación interpuestos por la parte actora (6-6-2025) y por la citada en garantía (9-6-2025), ambos concedidos el 11-6-2025 libremente y en efecto suspensivo.  elevados los autos a esta Alzada con fecha 1-7-2025 se ordeno</w:t>
      </w:r>
      <w:r>
        <w:rPr>
          <w:b/>
          <w:lang w:val="es-AR" w:eastAsia="es-AR" w:bidi="es-AR"/>
        </w:rPr>
        <w:t xml:space="preserve"> </w:t>
      </w:r>
      <w:r>
        <w:rPr>
          <w:lang w:val="es-AR" w:eastAsia="es-AR" w:bidi="es-AR"/>
        </w:rPr>
        <w:t xml:space="preserve">expresar agravios a la parte actora, quien los fundó el 14-7-2025.  El día 17-7-2025 se ordeno expresar agravios a la Citada en Garantía, quien los fundó el 8-8-2025.  Con fecha 12-8-2025 traslados, los que fueron evacuados el 14-8-2025 por la parte actora y el 26-8-2025 por la citada en garantía.  2-9-2025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En sustento de su crítica recursiva la parte actora expone los siguientes puntos de agravio. </w:t>
      </w:r>
    </w:p>
    <w:p>
      <w:pPr>
        <w:pStyle w:val="[Normal]"/>
        <w:spacing w:line="360" w:lineRule="auto"/>
        <w:ind w:firstLine="1134"/>
        <w:jc w:val="both"/>
        <w:rPr>
          <w:lang w:val="es-AR" w:eastAsia="es-AR" w:bidi="es-AR"/>
        </w:rPr>
      </w:pPr>
      <w:r>
        <w:rPr>
          <w:lang w:val="es-AR" w:eastAsia="es-AR" w:bidi="es-AR"/>
        </w:rPr>
        <w:t xml:space="preserve">En primer lugar, se agravia de la cuantificación del rubro </w:t>
      </w:r>
      <w:r>
        <w:rPr>
          <w:i/>
          <w:lang w:val="es-AR" w:eastAsia="es-AR" w:bidi="es-AR"/>
        </w:rPr>
        <w:t xml:space="preserve">“incapacidad parcial y permanente”</w:t>
      </w:r>
      <w:r>
        <w:rPr>
          <w:lang w:val="es-AR" w:eastAsia="es-AR" w:bidi="es-AR"/>
        </w:rPr>
        <w:t xml:space="preserve">, por cuanto el a quo aplica la fórmula Acciarri con parámetros fácticos erróneos (edad de la víctima, salario tomado y su proyección anual), lo que arroja un capital notoriamente inferior al debido. Al respecto, cuestiona que el juez haya utilizado un salario parcial e histórico (enero 2025) como base del cálculo, pese a dictarse la sentencia en mayo, y postula que corresponde tomar el haber vigente al momento del pronunciamiento (o, en su caso, al de Cámara), solicitando medidas para mejor proveer y acompañando recibos de sueldo actualizados.</w:t>
      </w:r>
    </w:p>
    <w:p>
      <w:pPr>
        <w:pStyle w:val="[Normal]"/>
        <w:spacing w:line="360" w:lineRule="auto"/>
        <w:ind w:firstLine="1134"/>
        <w:jc w:val="both"/>
        <w:rPr>
          <w:lang w:val="es-AR" w:eastAsia="es-AR" w:bidi="es-AR"/>
        </w:rPr>
      </w:pPr>
      <w:r>
        <w:rPr>
          <w:lang w:val="es-AR" w:eastAsia="es-AR" w:bidi="es-AR"/>
        </w:rPr>
        <w:t xml:space="preserve">En relación con el daño moral, aunque consiente su procedencia, se agravia del monto fijado por entenderlo exiguo frente a las concretas afecciones espirituales y limita su crítica al quantum, solicitando su aumento en la misma proporción y porcentaje que resulte de la nueva liquidación del rubro incapacidad, proponiendo un importe superior al de la sentencia de grado.</w:t>
      </w:r>
    </w:p>
    <w:p>
      <w:pPr>
        <w:pStyle w:val="[Normal]"/>
        <w:spacing w:line="360" w:lineRule="auto"/>
        <w:ind w:firstLine="1134"/>
        <w:jc w:val="both"/>
        <w:rPr>
          <w:lang w:val="es-AR" w:eastAsia="es-AR" w:bidi="es-AR"/>
        </w:rPr>
      </w:pPr>
      <w:r>
        <w:rPr>
          <w:lang w:val="es-AR" w:eastAsia="es-AR" w:bidi="es-AR"/>
        </w:rPr>
        <w:t xml:space="preserve">Por su parte, la demandada articula su expresión de agravios en relación a los siguientes fundamentos críticos.</w:t>
      </w:r>
    </w:p>
    <w:p>
      <w:pPr>
        <w:pStyle w:val="[Normal]"/>
        <w:spacing w:line="360" w:lineRule="auto"/>
        <w:ind w:firstLine="1134"/>
        <w:jc w:val="both"/>
        <w:rPr>
          <w:lang w:val="es-AR" w:eastAsia="es-AR" w:bidi="es-AR"/>
        </w:rPr>
      </w:pPr>
      <w:r>
        <w:rPr>
          <w:lang w:val="es-AR" w:eastAsia="es-AR" w:bidi="es-AR"/>
        </w:rPr>
        <w:t xml:space="preserve">Cuestiona el monto fijado por daño moral por considerarlo excesivo y carente de fundamentación concreta, pues el a quo aludiría solo en forma genérica a padecimientos físicos y angustias, sin explicitar parámetros objetivos de cuantificación (edad, gravedad de secuelas, impacto real en la vida cotidiana). En tal sentido, aduce que el juez se limitó a presumir el daño moral “in re ipsa” sin exigir prueba específica sobre su entidad (afectación en la vida de relación, deportes, esparcimiento), lo que a su criterio transforma el rubro en un enriquecimiento sin causa y justifica la reducción del quantum.</w:t>
      </w:r>
    </w:p>
    <w:p>
      <w:pPr>
        <w:pStyle w:val="[Normal]"/>
        <w:spacing w:line="360" w:lineRule="auto"/>
        <w:ind w:firstLine="1134"/>
        <w:jc w:val="both"/>
        <w:rPr>
          <w:lang w:val="es-AR" w:eastAsia="es-AR" w:bidi="es-AR"/>
        </w:rPr>
      </w:pPr>
      <w:r>
        <w:rPr>
          <w:lang w:val="es-AR" w:eastAsia="es-AR" w:bidi="es-AR"/>
        </w:rPr>
        <w:t xml:space="preserve">Se agravia de la declaración de inconstitucionalidad de los arts. 7 y 10 ley 23.928 y de la orden de ajustar la condena por IPC, alegando que la actora no pidió expresamente un mecanismo indexatorio y que el juez introdujo de oficio una pretensión no articulada, vulnerando el principio de congruencia y fallando ultra petita. Asimismo, critica que el fallo, al disponer la actualización por índice, desconozca la vigencia de la prohibición legal de indexar y la jurisprudencia de la CSJN que la ha convalidado, generando a su entender inseguridad jurídica y un apartamiento injustificado del marco normativo aplicable.</w:t>
      </w:r>
    </w:p>
    <w:p>
      <w:pPr>
        <w:pStyle w:val="[Normal]"/>
        <w:spacing w:line="360" w:lineRule="auto"/>
        <w:ind w:firstLine="1134"/>
        <w:jc w:val="both"/>
        <w:rPr>
          <w:lang w:val="es-AR" w:eastAsia="es-AR" w:bidi="es-AR"/>
        </w:rPr>
      </w:pPr>
      <w:r>
        <w:rPr>
          <w:lang w:val="es-AR" w:eastAsia="es-AR" w:bidi="es-AR"/>
        </w:rPr>
        <w:t xml:space="preserve">La actora pide el rechazo íntegro de los agravios de RUS y la confirmación de la procedencia del daño moral, señalando que la sentencia de grado se encuentra debidamente fundada conforme doctrina y jurisprudencia sobre la naturaleza resarcitoria y la dificultad de su cuantificación. A la vez, reitera que el monto reconocido es insuficiente para reparar sus padecimientos, postula que se incremente en el porcentaje utilizado por el a quo (31,5% sobre el capital por incapacidad) y concreta un nuevo quantum de $ 9.182.110,45. En relación con la inconstitucionalidad de los arts. 7 y 10 de la ley 23.928, sostiene que no hubo violación al principio de congruencia ni actuación de oficio, pues en la demanda se requirió expresamente la reparación con incremento por desvalorización monetaria hasta el efectivo pago, y respalda la decisión del juez con abundante jurisprudencia sobre la necesidad de actualizar la condena frente a la inflación real para asegurar la reparación integral.</w:t>
      </w:r>
    </w:p>
    <w:p>
      <w:pPr>
        <w:pStyle w:val="[Normal]"/>
        <w:spacing w:line="360" w:lineRule="auto"/>
        <w:ind w:firstLine="1134"/>
        <w:jc w:val="both"/>
        <w:rPr>
          <w:lang w:val="es-AR" w:eastAsia="es-AR" w:bidi="es-AR"/>
        </w:rPr>
      </w:pPr>
      <w:r>
        <w:rPr>
          <w:lang w:val="es-AR" w:eastAsia="es-AR" w:bidi="es-AR"/>
        </w:rPr>
        <w:t xml:space="preserve">Al momento de evacuar el traslado correspondiente a la apelación de la accionada, la parte actora pide el rechazo íntegro de los agravios expresados por aquélla y la confirmación de la procedencia del daño moral, señalando que la sentencia de grado se encuentra debidamente fundada conforme doctrina y jurisprudencia sobre la naturaleza resarcitoria y la dificultad de su cuantificación. 	</w:t>
        <w:br w:type="textWrapping"/>
      </w:r>
      <w:r>
        <w:rPr>
          <w:lang w:val="es-AR" w:eastAsia="es-AR" w:bidi="es-AR"/>
        </w:rPr>
        <w:t xml:space="preserve"> 	En relación con la inconstitucionalidad de los arts. 7 y 10 de la ley 23.928, sostiene que no hubo violación al principio de congruencia ni actuación de oficio, pues en la demanda se requirió expresamente la reparación con incremento por desvalorización monetaria hasta el efectivo pago, y respalda la decisión del juez con abundante jurisprudencia sobre la necesidad de actualizar la condena frente a la inflación real para asegurar la reparación integral.</w:t>
      </w:r>
    </w:p>
    <w:p>
      <w:pPr>
        <w:pStyle w:val="[Normal]"/>
        <w:spacing w:line="360" w:lineRule="auto"/>
        <w:ind w:firstLine="1134"/>
        <w:jc w:val="both"/>
        <w:rPr>
          <w:lang w:val="es-AR" w:eastAsia="es-AR" w:bidi="es-AR"/>
        </w:rPr>
      </w:pPr>
      <w:r>
        <w:rPr>
          <w:lang w:val="es-AR" w:eastAsia="es-AR" w:bidi="es-AR"/>
        </w:rPr>
        <w:t xml:space="preserve">Seguidamente, la parte demandada se opone a los agravios de la actora sobre el cálculo de la incapacidad, rechazando la incorporación de recibos salariales de abril y mayo de 2025 por constituir prueba nueva inadmisible en alzada y desconociendo además su autenticidad, ya que la Cámara debe ceñirse al material probatorio de primera instancia. </w:t>
      </w:r>
    </w:p>
    <w:p>
      <w:pPr>
        <w:pStyle w:val="[Normal]"/>
        <w:spacing w:line="360" w:lineRule="auto"/>
        <w:ind w:firstLine="1134"/>
        <w:jc w:val="both"/>
        <w:rPr>
          <w:lang w:val="es-AR" w:eastAsia="es-AR" w:bidi="es-AR"/>
        </w:rPr>
      </w:pPr>
      <w:r>
        <w:rPr>
          <w:lang w:val="es-AR" w:eastAsia="es-AR" w:bidi="es-AR"/>
        </w:rPr>
        <w:t xml:space="preserve">Afirma que el a quo aplicó correctamente la fórmula Acciarri con base en la prueba producida, tomando el básico de $ 707.954,72 y el dato de que la propia actora acreditó percibir ingresos aproximados de $ 850.000, mientras que los ítems variables del recibo no integran el salario real. </w:t>
      </w:r>
    </w:p>
    <w:p>
      <w:pPr>
        <w:pStyle w:val="[Normal]"/>
        <w:spacing w:line="360" w:lineRule="auto"/>
        <w:ind w:firstLine="1134"/>
        <w:jc w:val="both"/>
        <w:rPr>
          <w:lang w:val="es-AR" w:eastAsia="es-AR" w:bidi="es-AR"/>
        </w:rPr>
      </w:pPr>
      <w:r>
        <w:rPr>
          <w:lang w:val="es-AR" w:eastAsia="es-AR" w:bidi="es-AR"/>
        </w:rPr>
        <w:t xml:space="preserve">Alega que la doctrina de la </w:t>
      </w:r>
      <w:r>
        <w:rPr>
          <w:i/>
          <w:lang w:val="es-AR" w:eastAsia="es-AR" w:bidi="es-AR"/>
        </w:rPr>
        <w:t xml:space="preserve">“reparación a valores actuales”</w:t>
      </w:r>
      <w:r>
        <w:rPr>
          <w:lang w:val="es-AR" w:eastAsia="es-AR" w:bidi="es-AR"/>
        </w:rPr>
        <w:t xml:space="preserve"> se refiere a la desvalorización monetaria y no habilita a sustituir la base salarial con documentación no incorporada al expediente, siendo la vía adecuada la aplicación de intereses tal como dispuso la sentencia. </w:t>
      </w:r>
    </w:p>
    <w:p>
      <w:pPr>
        <w:pStyle w:val="[Normal]"/>
        <w:spacing w:line="360" w:lineRule="auto"/>
        <w:ind w:firstLine="1134"/>
        <w:jc w:val="both"/>
        <w:rPr>
          <w:lang w:val="es-AR" w:eastAsia="es-AR" w:bidi="es-AR"/>
        </w:rPr>
      </w:pPr>
      <w:r>
        <w:rPr>
          <w:lang w:val="es-AR" w:eastAsia="es-AR" w:bidi="es-AR"/>
        </w:rPr>
        <w:t xml:space="preserve">Finalmente, reconoce el error involuntario en la edad de la víctima -que deberá corregirse en el factor etario de la fórmula-, vincula el agravio por daño moral al primero y pide el rechazo del recurso de la actora, remitiéndose a su propio memorial donde postuló la disminución de ese rubro.</w:t>
      </w:r>
    </w:p>
    <w:p>
      <w:pPr>
        <w:pStyle w:val="[Normal]"/>
        <w:spacing w:line="360" w:lineRule="auto"/>
        <w:ind w:firstLine="1134"/>
        <w:jc w:val="both"/>
        <w:rPr>
          <w:lang w:val="es-AR" w:eastAsia="es-AR" w:bidi="es-AR"/>
        </w:rPr>
      </w:pPr>
      <w:r>
        <w:rPr>
          <w:lang w:val="es-AR" w:eastAsia="es-AR" w:bidi="es-AR"/>
        </w:rPr>
        <w:t xml:space="preserve">Entrando a resolver, advierto que la cuestión sometida a revisión ha de versar sobre dos cuestiones fundamentales: 1) la cuantificación del daño por incapacidad y, en particular, la corrección de los presupuestos fácticos utilizados como insumos de la fórmula aplicada, 2) la procedencia y cuantía del daño moral, 3) la admisibilidad y procedencia de la declaración de inconstitucionalidad de los arts. 7 y 10 de la ley de convertibilidad como base justificativa para disponer la actualización de los rubros indemnizatorios.</w:t>
      </w:r>
    </w:p>
    <w:p>
      <w:pPr>
        <w:pStyle w:val="[Normal]"/>
        <w:spacing w:line="360" w:lineRule="auto"/>
        <w:ind w:firstLine="1134"/>
        <w:jc w:val="both"/>
        <w:rPr>
          <w:lang w:val="es-AR" w:eastAsia="es-AR" w:bidi="es-AR"/>
        </w:rPr>
      </w:pPr>
      <w:r>
        <w:rPr>
          <w:lang w:val="es-AR" w:eastAsia="es-AR" w:bidi="es-AR"/>
        </w:rPr>
        <w:t xml:space="preserve">Por especiales razones metodológicas, he de iniciar el tratamiento del asunto con el abordaje de esta última cuestión, en el entendimiento de que su prioritario análisis y consecuente resolución posibilitarán ulteriormente una revisión adecuada de los aspectos críticos centrados en la cuantificación de los rubros indemnizatorios.</w:t>
      </w:r>
    </w:p>
    <w:p>
      <w:pPr>
        <w:pStyle w:val="[Normal]"/>
        <w:spacing w:line="360" w:lineRule="auto"/>
        <w:ind w:firstLine="1134"/>
        <w:jc w:val="both"/>
        <w:rPr>
          <w:lang w:val="es-AR" w:eastAsia="es-AR" w:bidi="es-AR"/>
        </w:rPr>
      </w:pPr>
      <w:r>
        <w:rPr>
          <w:lang w:val="es-AR" w:eastAsia="es-AR" w:bidi="es-AR"/>
        </w:rPr>
        <w:t xml:space="preserve">I.- En esta dirección, comenzaré atendiendo al primer embate formulado por la parte demandada en punto a que no se habría verificado el presupuesto de procedencia establecido en el fallo </w:t>
      </w:r>
      <w:r>
        <w:rPr>
          <w:i/>
          <w:lang w:val="es-AR" w:eastAsia="es-AR" w:bidi="es-AR"/>
        </w:rPr>
        <w:t xml:space="preserve">"Barrios"</w:t>
      </w:r>
      <w:r>
        <w:rPr>
          <w:lang w:val="es-AR" w:eastAsia="es-AR" w:bidi="es-AR"/>
        </w:rPr>
        <w:t xml:space="preserve"> para convalidar la declaración de inconstitucionalidad de la ley 23.928 en sus arts. 7 y 10 y proceder a la actualización de los montos de condena fijados en la sentencia. Para sustentar dicha tesitura, la apelante se limita a decir que la inflación ha ido </w:t>
      </w:r>
      <w:r>
        <w:rPr>
          <w:i/>
          <w:lang w:val="es-AR" w:eastAsia="es-AR" w:bidi="es-AR"/>
        </w:rPr>
        <w:t xml:space="preserve">"en retroceso drásticamente al punto que en lo que va de este año la acumulada es del 14,2% según INDEC. Por lo que la indexación no tiene razón de ser"</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Ahora bien, teniendo en cuenta que el núcleo legitimante que determina la aplicación del fallo "Barrios" es la afectación sustancial del derecho de propiedad (art. 17 de la CN) patentizado en la diferencia notoria entre la aplicación del método tradicional (capital histórico + tasa de interés aparente) y el método de actualización por indexación (capital histórico + ajuste por índice indexatorio + tasa pura), resulta evidente que la alegación vertida por el apelante es palmariamente insuficiente para enervar la solución indexatoria dispuesta por el Juez de grado.</w:t>
      </w:r>
    </w:p>
    <w:p>
      <w:pPr>
        <w:pStyle w:val="[Normal]"/>
        <w:spacing w:line="360" w:lineRule="auto"/>
        <w:ind w:firstLine="1134"/>
        <w:jc w:val="both"/>
        <w:rPr>
          <w:lang w:val="es-AR" w:eastAsia="es-AR" w:bidi="es-AR"/>
        </w:rPr>
      </w:pPr>
      <w:r>
        <w:rPr>
          <w:lang w:val="es-AR" w:eastAsia="es-AR" w:bidi="es-AR"/>
        </w:rPr>
        <w:t xml:space="preserve">En términos más directos, esto significa que al apelante no le bastaba con afirmar génericamente que la inflación se encuentra en retroceso y que la acumulada en el mes de octubre es del 14,2%, sino que debió haber acreditado en concreto que la existencia de una brecha sustancial entre el resultado arrojado entre la aplicación de la respuesta compatible con la ley 23.928 y la actualización por índices previa descalificación constitucional.	</w:t>
      </w:r>
    </w:p>
    <w:p>
      <w:pPr>
        <w:pStyle w:val="[Normal]"/>
        <w:spacing w:line="360" w:lineRule="auto"/>
        <w:ind w:firstLine="1134"/>
        <w:jc w:val="both"/>
        <w:rPr>
          <w:lang w:val="es-AR" w:eastAsia="es-AR" w:bidi="es-AR"/>
        </w:rPr>
      </w:pPr>
      <w:r>
        <w:rPr>
          <w:lang w:val="es-AR" w:eastAsia="es-AR" w:bidi="es-AR"/>
        </w:rPr>
        <w:t xml:space="preserve">Claramente, media aquí un déficit impugnatorio que no es dable suplir a este Tribunal.	</w:t>
        <w:br w:type="textWrapping"/>
      </w:r>
      <w:r>
        <w:rPr>
          <w:lang w:val="es-AR" w:eastAsia="es-AR" w:bidi="es-AR"/>
        </w:rPr>
        <w:t xml:space="preserve"> 	Vale recordar que el embate contra la sentencia de Primera Instancia llevado a cabo por medio del memorial -o expresión de agravios, en su caso- debe ser concreto, preciso y claro; en una palabra, suficiente, dado que en el sistema dispositivo que nos rige, esta pieza procesal se erige como cuña que tiende a romper el fallo atacado, pero, para ello, atento el adagio tantum devolutum quantum apellatum, hace falta que el quejoso ponga de manifiesto los errores de la providencia impugnada.	</w:t>
        <w:br w:type="textWrapping"/>
      </w:r>
      <w:r>
        <w:rPr>
          <w:lang w:val="es-AR" w:eastAsia="es-AR" w:bidi="es-AR"/>
        </w:rPr>
        <w:t xml:space="preserve"> 	Si este embate no se cumple, o se lleva a cabo en forma deficitaria, el decisorio deviene firme, ya que es el atacante quien a través de su expresión de agravios fija el ámbito funcional de la Alzada, la que no está facultada constitucionalmente para suplir los déficit argumentales, ni para ocuparse de las quejas que éste no dedujo (Causa nº 22.242, R.S.44/89).	</w:t>
        <w:br w:type="textWrapping"/>
      </w:r>
      <w:r>
        <w:rPr>
          <w:lang w:val="es-AR" w:eastAsia="es-AR" w:bidi="es-AR"/>
        </w:rPr>
        <w:t xml:space="preserve"> 	La apuntada carga procesal supone la demostración del agravio, no correspondiendo al Juzgador suplir en esa tarea al justiciable, por ser un imperativo del propio interés del peticionario en un asunto que es de su exclusiva incumbencia.	</w:t>
        <w:br w:type="textWrapping"/>
      </w:r>
      <w:r>
        <w:rPr>
          <w:lang w:val="es-AR" w:eastAsia="es-AR" w:bidi="es-AR"/>
        </w:rPr>
        <w:t xml:space="preserve"> 	Para tener por satisfechos los fines legales de dicho escrito, deben concretarse punto por punto los déficit fundamentales que se atribuyen al fallo atacado, ya sea en la aplicación del derecho o, en su caso, en la apreciación de los hechos y su prueba (conf. Hitters en "Técnica de los Recursos Ordinarios", págs. 442/446).	</w:t>
        <w:br w:type="textWrapping"/>
      </w:r>
      <w:r>
        <w:rPr>
          <w:lang w:val="es-AR" w:eastAsia="es-AR" w:bidi="es-AR"/>
        </w:rPr>
        <w:t xml:space="preserve"> 	Se exige al apelante una exposición sistemática, tanto en la interpretación del fallo recaído -en cuanto juzgado erróneo- como en las impugnaciones de las consideraciones decisivas. Deben precisarse parte por parte los errores, omisiones y demás deficiencias que se atribuyen al fallo recurrido, especificándose con toda exactitud los fundamentos de las objeciones, sin que las afirmaciones genéricas y las impugnaciones de orden general -dentro de las que se hallan las meras citas doctrinarias o jurisprudenciales- puedan llegar a reunir los requisitos mínimos indispensables para desvirtuar la solución realmente dotada de congruencia (conf. Causa nº 22.549, R.S. 89/89).	</w:t>
        <w:br w:type="textWrapping"/>
      </w:r>
      <w:r>
        <w:rPr>
          <w:lang w:val="es-AR" w:eastAsia="es-AR" w:bidi="es-AR"/>
        </w:rPr>
        <w:t xml:space="preserve"> 	La ley requiere así, con la finalidad de mantener el debate en un plano intelectual antes que verbal, que la crítica dirigida a la sentencia sea concreta, lo cual significa que la parte debe seleccionar del discurso del Magistrado aquel argumento que constituya estrictamente la idea dirimente y que forme la base lógica de la decisión. Efectuada esa labor de comprensión, incumbe luego a la parte la tarea de señalar cual punto del desarrollo argumental mismo ha incurrido en una errata a sus referencias fácticas o en su interpretación jurídica, que llevara al desacierto ulterior concretado en la sentencia (Cám. Nac. Com., Sala D, 24/4/84, L.L. 1.985, v. A, p. 309; esta Sala, Causa nº 31.349, R.S. 52/94).</w:t>
      </w:r>
    </w:p>
    <w:p>
      <w:pPr>
        <w:pStyle w:val="[Normal]"/>
        <w:spacing w:line="360" w:lineRule="auto"/>
        <w:ind w:firstLine="1134"/>
        <w:jc w:val="both"/>
        <w:rPr>
          <w:lang w:val="es-AR" w:eastAsia="es-AR" w:bidi="es-AR"/>
        </w:rPr>
      </w:pPr>
      <w:r>
        <w:rPr>
          <w:lang w:val="es-AR" w:eastAsia="es-AR" w:bidi="es-AR"/>
        </w:rPr>
        <w:t xml:space="preserve">Es que la función de la Cámara es revisora, pues no se trata de un nuevo juicio, y aquélla encuentra su límite en la existencia y extensión de los agravios, que deben constituir la crítica concreta y razonada de los fundamentos del fallo de Primera Instancia con lo que se disconforma, demostrando cuales son los errores en él incurridos, pues, de lo contrario, la insuficiencia de la queja conlleva a la deserción del recurso, y si bien es cierto que la corriente general de la jurisprudencia es que basta un mínimo de crítica, ello no significa que pueda el órgano jurisdiccional sustituir o subsidiar la actividad propia del recurrente (arts. 260, 261, 34, inc. 5º, pto. c), del Cód. Procesal; Causa nº 32.277, R.S. 228/94).</w:t>
      </w:r>
    </w:p>
    <w:p>
      <w:pPr>
        <w:pStyle w:val="[Normal]"/>
        <w:spacing w:line="360" w:lineRule="auto"/>
        <w:ind w:firstLine="1134"/>
        <w:jc w:val="both"/>
        <w:rPr>
          <w:lang w:val="es-AR" w:eastAsia="es-AR" w:bidi="es-AR"/>
        </w:rPr>
      </w:pPr>
      <w:r>
        <w:rPr>
          <w:lang w:val="es-AR" w:eastAsia="es-AR" w:bidi="es-AR"/>
        </w:rPr>
        <w:t xml:space="preserve">En síntesis, si el eje habilitante de la doctrina sentada en “Barrios” reside en la comprobación de una lesión sustancial al derecho de propiedad derivada de la brecha notoria entre el capital histórico más intereses y el resultado de la actualización por índices, y si el apelante se ha limitado a enunciar en términos genéricos una merma de la inflación, sin efectuar la más mínima comparación concreta entre uno y otro método de cálculo, ni demostrar en qué medida el esquema adoptado por el a quo generaría una sobrecompensación o un apartamiento irrazonable de la realidad económica, forzoso es concluir que el agravio resulta manifiestamente insuficiente como crítica concreta y razonada. </w:t>
      </w:r>
    </w:p>
    <w:p>
      <w:pPr>
        <w:pStyle w:val="[Normal]"/>
        <w:spacing w:line="360" w:lineRule="auto"/>
        <w:ind w:firstLine="1134"/>
        <w:jc w:val="both"/>
        <w:rPr>
          <w:lang w:val="es-AR" w:eastAsia="es-AR" w:bidi="es-AR"/>
        </w:rPr>
      </w:pPr>
      <w:r>
        <w:rPr>
          <w:lang w:val="es-AR" w:eastAsia="es-AR" w:bidi="es-AR"/>
        </w:rPr>
        <w:t xml:space="preserve">En tales condiciones, y no siendo dable a este Tribunal suplir de oficio la actividad argumental que incumbía a la demandada, corresponde declarar la deserción del recurso en este tramo y, en consecuencia, mantener incólume la declaración de inconstitucionalidad de los arts. 7 y 10 de la ley 23.928 y la consecuente actualización de la condena mediante el índice seleccionado en la instancia de grado, quedando así despejado este aspecto para avanzar, seguidamente, en el examen de los agravios dirigidos a la cuantificación de los rubros indemnizatorios.</w:t>
      </w:r>
    </w:p>
    <w:p>
      <w:pPr>
        <w:pStyle w:val="[Normal]"/>
        <w:spacing w:line="360" w:lineRule="auto"/>
        <w:ind w:firstLine="1134"/>
        <w:jc w:val="both"/>
        <w:rPr>
          <w:lang w:val="es-AR" w:eastAsia="es-AR" w:bidi="es-AR"/>
        </w:rPr>
      </w:pPr>
      <w:r>
        <w:rPr>
          <w:lang w:val="es-AR" w:eastAsia="es-AR" w:bidi="es-AR"/>
        </w:rPr>
        <w:t xml:space="preserve">II.- Transitando a la cuestión relativo a la cuantificación del rubro daño por incapacidad, procederé al tratamiento del agravio actoral.</w:t>
      </w:r>
    </w:p>
    <w:p>
      <w:pPr>
        <w:pStyle w:val="[Normal]"/>
        <w:spacing w:line="360" w:lineRule="auto"/>
        <w:ind w:firstLine="1134"/>
        <w:jc w:val="both"/>
        <w:rPr>
          <w:lang w:val="es-AR" w:eastAsia="es-AR" w:bidi="es-AR"/>
        </w:rPr>
      </w:pPr>
      <w:r>
        <w:rPr>
          <w:lang w:val="es-AR" w:eastAsia="es-AR" w:bidi="es-AR"/>
        </w:rPr>
        <w:t xml:space="preserve">Conforme surge del memorial, la crítica se dirige esencialmente a tres aspectos: (i) la utilización por el juez de grado de un salario que –según afirma– no reflejaría la remuneración real percibida al momento del pronunciamiento; (ii) la proyección anual utilizada en la fórmula Acciarri; y (iii) el error en la edad consignada para el cálculo del factor etario.</w:t>
      </w:r>
    </w:p>
    <w:p>
      <w:pPr>
        <w:pStyle w:val="[Normal]"/>
        <w:spacing w:line="360" w:lineRule="auto"/>
        <w:ind w:firstLine="1134"/>
        <w:jc w:val="both"/>
        <w:rPr>
          <w:lang w:val="es-AR" w:eastAsia="es-AR" w:bidi="es-AR"/>
        </w:rPr>
      </w:pPr>
      <w:r>
        <w:rPr>
          <w:lang w:val="es-AR" w:eastAsia="es-AR" w:bidi="es-AR"/>
        </w:rPr>
        <w:t xml:space="preserve">Desde ya cabe precisar que el daño por incapacidad permanente, sea física o psíquica, posee naturaleza resarcitoria y está destinado a compensar la merma en la aptitud general de la víctima para desplegar sus actividades productivas y existenciales (arts. 1738, 1746 CCyC). Su cuantificación mediante fórmulas matemáticas constituye una herramienta auxiliar orientada a dotar de razonabilidad y proporcionalidad a la reparación, pero sin sustituir el prudente arbitrio judicial.</w:t>
      </w:r>
    </w:p>
    <w:p>
      <w:pPr>
        <w:pStyle w:val="[Normal]"/>
        <w:spacing w:line="360" w:lineRule="auto"/>
        <w:ind w:firstLine="1134"/>
        <w:jc w:val="both"/>
        <w:rPr>
          <w:lang w:val="es-AR" w:eastAsia="es-AR" w:bidi="es-AR"/>
        </w:rPr>
      </w:pPr>
      <w:r>
        <w:rPr>
          <w:lang w:val="es-AR" w:eastAsia="es-AR" w:bidi="es-AR"/>
        </w:rPr>
        <w:t xml:space="preserve">Ingresando en el análisis específico del agravio vinculado a la cuantificación del daño por incapacidad sobreviniente, es dable referenciar que la actora sostiene que el salario tomado como base por el a quo no reflejaría sus ingresos reales al momento del pronunciamiento, y pretende por ello que se consideren los recibos de sueldo acompañados recién en esta instancia.</w:t>
      </w:r>
    </w:p>
    <w:p>
      <w:pPr>
        <w:pStyle w:val="[Normal]"/>
        <w:spacing w:line="360" w:lineRule="auto"/>
        <w:ind w:firstLine="1134"/>
        <w:jc w:val="both"/>
        <w:rPr>
          <w:lang w:val="es-AR" w:eastAsia="es-AR" w:bidi="es-AR"/>
        </w:rPr>
      </w:pPr>
      <w:r>
        <w:rPr>
          <w:lang w:val="es-AR" w:eastAsia="es-AR" w:bidi="es-AR"/>
        </w:rPr>
        <w:t xml:space="preserve">Según se advierte del memorial, la recurrente aduce que el juez de grado habría utilizado un salario </w:t>
      </w:r>
      <w:r>
        <w:rPr>
          <w:i/>
          <w:lang w:val="es-AR" w:eastAsia="es-AR" w:bidi="es-AR"/>
        </w:rPr>
        <w:t xml:space="preserve">“históricamente disminuido”</w:t>
      </w:r>
      <w:r>
        <w:rPr>
          <w:lang w:val="es-AR" w:eastAsia="es-AR" w:bidi="es-AR"/>
        </w:rPr>
        <w:t xml:space="preserve">, correspondiente a unos meses anteriores al dictado de la sentencia, y postula que, a fin de lograr una reparación integral, correspondería sustituir dicha base por la remuneración que surge de los recibos agregados en alzada. La queja se articula, entonces, sobre la supuesta desactualización del dato remuneratorio empleado en la fórmula de cálculo.</w:t>
      </w:r>
    </w:p>
    <w:p>
      <w:pPr>
        <w:pStyle w:val="[Normal]"/>
        <w:spacing w:line="360" w:lineRule="auto"/>
        <w:ind w:firstLine="1134"/>
        <w:jc w:val="both"/>
        <w:rPr>
          <w:lang w:val="es-AR" w:eastAsia="es-AR" w:bidi="es-AR"/>
        </w:rPr>
      </w:pPr>
      <w:r>
        <w:rPr>
          <w:lang w:val="es-AR" w:eastAsia="es-AR" w:bidi="es-AR"/>
        </w:rPr>
        <w:t xml:space="preserve">En este marco, la primera cuestión a dilucidar es si corresponde admitir la incorporación en segunda instancia de los recibos salariales acompañados por la actora para actualizar la base remunerativa tomada en la sentencia. </w:t>
      </w:r>
    </w:p>
    <w:p>
      <w:pPr>
        <w:pStyle w:val="[Normal]"/>
        <w:spacing w:line="360" w:lineRule="auto"/>
        <w:ind w:firstLine="1134"/>
        <w:jc w:val="both"/>
        <w:rPr>
          <w:lang w:val="es-AR" w:eastAsia="es-AR" w:bidi="es-AR"/>
        </w:rPr>
      </w:pPr>
      <w:r>
        <w:rPr>
          <w:lang w:val="es-AR" w:eastAsia="es-AR" w:bidi="es-AR"/>
        </w:rPr>
        <w:t xml:space="preserve">Sin embargo, tal pretensión no puede prosperar. En primer término, porque la documentación salarial acompañada en esta etapa no ha sido sometida a un adecuado control contradictorio por la parte demandada, y admitirla como sustento directo de una reconfiguración del quantum indemnizatorio vulneraría el principio de bilateralidad y defensa en juicio (art. 18 CN; arts. 18, 34 inc. 4º y concs. CPCC). </w:t>
      </w:r>
    </w:p>
    <w:p>
      <w:pPr>
        <w:pStyle w:val="[Normal]"/>
        <w:spacing w:line="360" w:lineRule="auto"/>
        <w:ind w:firstLine="1134"/>
        <w:jc w:val="both"/>
        <w:rPr>
          <w:lang w:val="es-AR" w:eastAsia="es-AR" w:bidi="es-AR"/>
        </w:rPr>
      </w:pPr>
      <w:r>
        <w:rPr>
          <w:lang w:val="es-AR" w:eastAsia="es-AR" w:bidi="es-AR"/>
        </w:rPr>
        <w:t xml:space="preserve">Aquí, por el contrario, la actora pretende que esta Cámara tenga por ciertos y determinantes unos recibos cuya autenticidad ha sido expresamente desconocida por la citada en garantía. Más allá del traslado conferido del memorial, la contraria no ha contado con la posibilidad real y plena de controlar el origen, la exactitud y la correspondencia de dichos instrumentos con la realidad laboral invocada; ni de articular, en su caso, prueba en contrario. Admitirlos como base de una modificación sustantiva de la condena importaría alterar, en los hechos, las reglas de distribución de la carga de la prueba y del debate contradictorio, en desmedro de la parte que, confiando en la preclusión de la etapa probatoria, ya no tiene oportunidad procesal de neutralizar ese aporte extemporáneo.</w:t>
      </w:r>
    </w:p>
    <w:p>
      <w:pPr>
        <w:pStyle w:val="[Normal]"/>
        <w:spacing w:line="360" w:lineRule="auto"/>
        <w:ind w:firstLine="1134"/>
        <w:jc w:val="both"/>
        <w:rPr>
          <w:lang w:val="es-AR" w:eastAsia="es-AR" w:bidi="es-AR"/>
        </w:rPr>
      </w:pPr>
      <w:r>
        <w:rPr>
          <w:lang w:val="es-AR" w:eastAsia="es-AR" w:bidi="es-AR"/>
        </w:rPr>
        <w:t xml:space="preserve">Desde esta perspectiva, no se trata solo de la regla general que limita la incorporación de prueba nueva en alzada, sino –más gravemente– de la afectación concreta de la garantía de defensa, pues se introduciría un elemento fáctico relevante sin el debido contralor procesal. La Cámara, como órgano revisor, no puede convertirse en sede de una suerte de </w:t>
      </w:r>
      <w:r>
        <w:rPr>
          <w:i/>
          <w:lang w:val="es-AR" w:eastAsia="es-AR" w:bidi="es-AR"/>
        </w:rPr>
        <w:t xml:space="preserve">“segunda instancia probatoria”</w:t>
      </w:r>
      <w:r>
        <w:rPr>
          <w:lang w:val="es-AR" w:eastAsia="es-AR" w:bidi="es-AR"/>
        </w:rPr>
        <w:t xml:space="preserve"> donde se reconfiguran los hechos a partir de documentos ulteriormente aportados, so riesgo de desnaturalizar el sistema dispositivo y el carácter esencialmente revisivo del recurso de apelación.</w:t>
      </w:r>
    </w:p>
    <w:p>
      <w:pPr>
        <w:pStyle w:val="[Normal]"/>
        <w:spacing w:line="360" w:lineRule="auto"/>
        <w:ind w:firstLine="1134"/>
        <w:jc w:val="both"/>
        <w:rPr>
          <w:lang w:val="es-AR" w:eastAsia="es-AR" w:bidi="es-AR"/>
        </w:rPr>
      </w:pPr>
      <w:r>
        <w:rPr>
          <w:lang w:val="es-AR" w:eastAsia="es-AR" w:bidi="es-AR"/>
        </w:rPr>
        <w:t xml:space="preserve">Ahora bien, sin perjuicio de mi postura adversa a la admisibilidad de los recibos salariales acompañados en esta instancia los cuales, por su incorporación extemporánea y la ausencia de un adecuado control de la parte demandada, no pueden ser tomados como base directa para recomponer los hechos del caso-, entiendo que sí hay margen para revisar el modo el a quo implementó el esquema indexatorio en el caso concreto y, en particular, para determinar si éste satisface o no las exigencias de reparación plena. En otras palabras, es menester controlar si la elección del dies a quo (término inicial de cómputo) de la actualización respeta el equilibrio entre el capital fijado y la realidad económica del período considerado.</w:t>
      </w:r>
    </w:p>
    <w:p>
      <w:pPr>
        <w:pStyle w:val="[Normal]"/>
        <w:spacing w:line="360" w:lineRule="auto"/>
        <w:ind w:firstLine="1134"/>
        <w:jc w:val="both"/>
        <w:rPr>
          <w:lang w:val="es-AR" w:eastAsia="es-AR" w:bidi="es-AR"/>
        </w:rPr>
      </w:pPr>
      <w:r>
        <w:rPr>
          <w:lang w:val="es-AR" w:eastAsia="es-AR" w:bidi="es-AR"/>
        </w:rPr>
        <w:t xml:space="preserve">Sobre este punto, entiendo que asiste razón a la actora cuando señala que el salario que sirvió de parámetro para la fórmula de incapacidad corresponde a una fecha anterior al pronunciamiento. Y siendo que el sistema de actualización dispuesto en la sentencia comienza recién a partir de la fecha de ésta, tal diseño genera, en la práctica, una franja temporal -que va desde el último recibo salarial efectivamente tenido en cuenta hasta el dictado de la sentencia- durante la cual el capital indemnizatorio permanece </w:t>
      </w:r>
      <w:r>
        <w:rPr>
          <w:i/>
          <w:lang w:val="es-AR" w:eastAsia="es-AR" w:bidi="es-AR"/>
        </w:rPr>
        <w:t xml:space="preserve">“descubierto”</w:t>
      </w:r>
      <w:r>
        <w:rPr>
          <w:lang w:val="es-AR" w:eastAsia="es-AR" w:bidi="es-AR"/>
        </w:rPr>
        <w:t xml:space="preserve"> frente al fenómeno inflacionario. Esa brecha temporal, en el contexto económico de conocimiento público, conlleva una pérdida real de poder adquisitivo que no se ve compensada por el simple cómputo de la actualización desde la sentencia, y que afecta directamente la suficiencia del resarcimiento.</w:t>
      </w:r>
    </w:p>
    <w:p>
      <w:pPr>
        <w:pStyle w:val="[Normal]"/>
        <w:spacing w:line="360" w:lineRule="auto"/>
        <w:ind w:firstLine="1134"/>
        <w:jc w:val="both"/>
        <w:rPr>
          <w:lang w:val="es-AR" w:eastAsia="es-AR" w:bidi="es-AR"/>
        </w:rPr>
      </w:pPr>
      <w:r>
        <w:rPr>
          <w:lang w:val="es-AR" w:eastAsia="es-AR" w:bidi="es-AR"/>
        </w:rPr>
        <w:t xml:space="preserve">Entonces, desde la lógica del propio sistema resarcitorio adoptado -capital histórico más ajuste por índice-, luce más coherente y respetuoso del principio de reparación integral que la actualización del rubro daño por incapacidad se compute desde la fecha del último recibo salarial que el juez de grado tuvo por acreditado y utilizó en la fórmula, y no recién desde la sentencia. En rigor, es en ese momento -al verificarse el último dato remuneratorio incorporado al debate- cuando el capital de condena empieza a alejarse de la realidad económica por la incidencia de la inflación; por ende, es desde allí que corresponde corregir dicha depreciación mediante el mecanismo indexatorio.</w:t>
      </w:r>
    </w:p>
    <w:p>
      <w:pPr>
        <w:pStyle w:val="[Normal]"/>
        <w:spacing w:line="360" w:lineRule="auto"/>
        <w:ind w:firstLine="1134"/>
        <w:jc w:val="both"/>
        <w:rPr>
          <w:lang w:val="es-AR" w:eastAsia="es-AR" w:bidi="es-AR"/>
        </w:rPr>
      </w:pPr>
      <w:r>
        <w:rPr>
          <w:lang w:val="es-AR" w:eastAsia="es-AR" w:bidi="es-AR"/>
        </w:rPr>
        <w:t xml:space="preserve">No se trata aquí de sustituir la base remunerativa por otra no debatida en la instancia de origen ni de introducir, por vía recursiva, prueba nueva que no ha sido sometida a contradicción. La solución que aquí propicio mantiene, en ese sentido, el dato salarial considerado en el fallo apelado, en tanto responde al cuadro probatorio oportunamente conformado y respetado por ambas partes. Lo que se revisa es el punto de arranque de la actualización indexatoria, esto es, la determinación del momento a partir del cual el capital así fijado ha comenzado a quedar expuesto al deterioro monetario.</w:t>
      </w:r>
    </w:p>
    <w:p>
      <w:pPr>
        <w:pStyle w:val="[Normal]"/>
        <w:spacing w:line="360" w:lineRule="auto"/>
        <w:ind w:firstLine="1134"/>
        <w:jc w:val="both"/>
        <w:rPr>
          <w:lang w:val="es-AR" w:eastAsia="es-AR" w:bidi="es-AR"/>
        </w:rPr>
      </w:pPr>
      <w:r>
        <w:rPr>
          <w:lang w:val="es-AR" w:eastAsia="es-AR" w:bidi="es-AR"/>
        </w:rPr>
        <w:t xml:space="preserve">De este modo, se atiende a la sustancia del agravio de la actora -que radica en evitar que un tramo temporal significativo quede sin adecuada cobertura frente a la inflación- sin vulnerar el derecho de defensa de la demandada, pues no se altera la base fáctica ni se introducen nuevos elementos probatorios, sino que se ajusta un aspecto estrictamente jurídico de la condena: el dies a quo de la actualización. </w:t>
      </w:r>
    </w:p>
    <w:p>
      <w:pPr>
        <w:pStyle w:val="[Normal]"/>
        <w:spacing w:line="360" w:lineRule="auto"/>
        <w:ind w:firstLine="1134"/>
        <w:jc w:val="both"/>
        <w:rPr>
          <w:lang w:val="es-AR" w:eastAsia="es-AR" w:bidi="es-AR"/>
        </w:rPr>
      </w:pPr>
      <w:r>
        <w:rPr>
          <w:lang w:val="es-AR" w:eastAsia="es-AR" w:bidi="es-AR"/>
        </w:rPr>
        <w:t xml:space="preserve">La parte demandada se encuentra, además, en mejor posición para soportar este ajuste, toda vez que se ha beneficiado hasta aquí de la utilización de un salario que, durante algunos meses, quedó rezagado respecto de la evolución general de los precios.</w:t>
      </w:r>
    </w:p>
    <w:p>
      <w:pPr>
        <w:pStyle w:val="[Normal]"/>
        <w:spacing w:line="360" w:lineRule="auto"/>
        <w:ind w:firstLine="1134"/>
        <w:jc w:val="both"/>
        <w:rPr>
          <w:lang w:val="es-AR" w:eastAsia="es-AR" w:bidi="es-AR"/>
        </w:rPr>
      </w:pPr>
      <w:r>
        <w:rPr>
          <w:lang w:val="es-AR" w:eastAsia="es-AR" w:bidi="es-AR"/>
        </w:rPr>
        <w:t xml:space="preserve">Debe dejarse constancia, asimismo, de que la solución aquí adoptada —esto es, desplazar el dies a quo de la actualización al momento del último recibo salarial considerado en la sentencia— no transgrede el principio de congruencia ni implica introducir de oficio cuestiones ajenas al debate. Ello es así porque el agravio de la actora no se limitó a cuestionar de manera abstracta el monto del rubro, sino que dirigió su crítica precisamente a la insuficiencia del capital resultante de la fórmula de incapacidad en función del salario tomado y del impacto económico derivado de su desactualización. </w:t>
      </w:r>
    </w:p>
    <w:p>
      <w:pPr>
        <w:pStyle w:val="[Normal]"/>
        <w:spacing w:line="360" w:lineRule="auto"/>
        <w:ind w:firstLine="1134"/>
        <w:jc w:val="both"/>
        <w:rPr>
          <w:lang w:val="es-AR" w:eastAsia="es-AR" w:bidi="es-AR"/>
        </w:rPr>
      </w:pPr>
      <w:r>
        <w:rPr>
          <w:lang w:val="es-AR" w:eastAsia="es-AR" w:bidi="es-AR"/>
        </w:rPr>
        <w:t xml:space="preserve">Dado que la reparación por incapacidad y la técnica indexatoria conforman un conjunto lógico, jurídico y económico indivisible, la revisión del punto de partida de la actualización constituye una derivación directa y necesaria del planteo recursivo: se trata de una respuesta razonable dentro del marco fijado por el propio apelante, que pretende evitar que el capital quede erosionado por la inflación en el tramo temporal previo al fallo. En consecuencia, la adecuación del término inicial de la actualización no altera los límites objetivos del recurso, sino que se inserta en la órbita de revisión habilitada, respetando plenamente las exigencias del art. 34 inc. 4° y el principio </w:t>
      </w:r>
      <w:r>
        <w:rPr>
          <w:i/>
          <w:lang w:val="es-AR" w:eastAsia="es-AR" w:bidi="es-AR"/>
        </w:rPr>
        <w:t xml:space="preserve">tantum devolutum quantum apellatum</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Así pues, en estas condiciones, el agravio debe ser acogido parcialmente, por lo que corresponde disponer que la actualización del capital fijado en concepto de incapacidad sobreviniente se practique mediante el índice adoptado en la instancia de grado desde la fecha del último recibo de haberes efectivamente considerado en la sentencia apelada (enero de 2025), y no desde el pronunciamiento mismo, hasta el efectivo pago. Esta solución armoniza el criterio indexatorio con el principio de reparación plena, evita una depreciación no razonable del resarcimiento entre el último dato salarial y la sentencia y preserva, al mismo tiempo, las garantías de defensa y contradicción, en tanto no importa introducir hechos nuevos ni alterar la base probatoria del decisorio recurrido.</w:t>
      </w:r>
    </w:p>
    <w:p>
      <w:pPr>
        <w:pStyle w:val="[Normal]"/>
        <w:spacing w:line="360" w:lineRule="auto"/>
        <w:ind w:firstLine="1134"/>
        <w:jc w:val="both"/>
        <w:rPr>
          <w:lang w:val="es-AR" w:eastAsia="es-AR" w:bidi="es-AR"/>
        </w:rPr>
      </w:pPr>
      <w:r>
        <w:rPr>
          <w:lang w:val="es-AR" w:eastAsia="es-AR" w:bidi="es-AR"/>
        </w:rPr>
        <w:t xml:space="preserve">Aclarado ello, corresponde seguidamente analizar el agravio mediante el cual la actora reprocha al sentenciante no haber considerado todos los rubros remuneratorios que -según afirma- integraban efectivamente su salario y que figuran en el recibo acompañado, lo cual habría reducido indebidamente la base de cálculo empleada para cuantificar el daño por incapacidad.</w:t>
      </w:r>
    </w:p>
    <w:p>
      <w:pPr>
        <w:pStyle w:val="[Normal]"/>
        <w:spacing w:line="360" w:lineRule="auto"/>
        <w:ind w:firstLine="1134"/>
        <w:jc w:val="both"/>
        <w:rPr>
          <w:lang w:val="es-AR" w:eastAsia="es-AR" w:bidi="es-AR"/>
        </w:rPr>
      </w:pPr>
      <w:r>
        <w:rPr>
          <w:lang w:val="es-AR" w:eastAsia="es-AR" w:bidi="es-AR"/>
        </w:rPr>
        <w:t xml:space="preserve">En este punto debe recordarse que la determinación del salario real que integra la base de la fórmula Acciarri es una cuestión eminentemente fáctica, que depende de la acreditación y análisis de las constancias laborales producidas en la instancia de grado. </w:t>
      </w:r>
    </w:p>
    <w:p>
      <w:pPr>
        <w:pStyle w:val="[Normal]"/>
        <w:spacing w:line="360" w:lineRule="auto"/>
        <w:ind w:firstLine="1134"/>
        <w:jc w:val="both"/>
        <w:rPr>
          <w:lang w:val="es-AR" w:eastAsia="es-AR" w:bidi="es-AR"/>
        </w:rPr>
      </w:pPr>
      <w:r>
        <w:rPr>
          <w:lang w:val="es-AR" w:eastAsia="es-AR" w:bidi="es-AR"/>
        </w:rPr>
        <w:t xml:space="preserve">La Cámara no puede, sin afectar las reglas del debido proceso, introducir de oficio o a pedido de una sola parte rubros no verificados, cuya naturaleza remuneratoria o habitualidad no fue demostrada conforme la carga probatoria del art. 375 CPCC. Ello implicaría reconfigurar el hecho generador del daño en sede de alzada, convirtiendo el recurso en una nueva instancia de prueba vedada por nuestro sistema dispositivo.</w:t>
      </w:r>
    </w:p>
    <w:p>
      <w:pPr>
        <w:pStyle w:val="[Normal]"/>
        <w:spacing w:line="360" w:lineRule="auto"/>
        <w:ind w:firstLine="1134"/>
        <w:jc w:val="both"/>
        <w:rPr>
          <w:lang w:val="es-AR" w:eastAsia="es-AR" w:bidi="es-AR"/>
        </w:rPr>
      </w:pPr>
      <w:r>
        <w:rPr>
          <w:lang w:val="es-AR" w:eastAsia="es-AR" w:bidi="es-AR"/>
        </w:rPr>
        <w:t xml:space="preserve">A lo anterior se suma un aspecto que refuerza la insuficiencia del agravio: la actora no desarrolla en su memorial una crítica concreta y razonada que explique por qué cada uno de los rubros omitidos deben integrar efectivamente la remuneración normal y habitual, y cómo la exclusión de cada uno de ellos vicia el razonamiento de la sentencia (arts. 260 y 261 CPCC). </w:t>
      </w:r>
    </w:p>
    <w:p>
      <w:pPr>
        <w:pStyle w:val="[Normal]"/>
        <w:spacing w:line="360" w:lineRule="auto"/>
        <w:ind w:firstLine="1134"/>
        <w:jc w:val="both"/>
        <w:rPr>
          <w:lang w:val="es-AR" w:eastAsia="es-AR" w:bidi="es-AR"/>
        </w:rPr>
      </w:pPr>
      <w:r>
        <w:rPr>
          <w:lang w:val="es-AR" w:eastAsia="es-AR" w:bidi="es-AR"/>
        </w:rPr>
        <w:t xml:space="preserve">La referencia genérica a tales items, desprovista de dichas consideraciones argumentales, carece de la precisión exigida por la doctrina de esta Cámara para habilitar una revisión en segunda instancia; de lo contrario, se colocaría al órgano revisor en la tarea -inadmisible- de reconstruir el salario sin indicaciones técnicas suficientes por parte del apelante.</w:t>
      </w:r>
    </w:p>
    <w:p>
      <w:pPr>
        <w:pStyle w:val="[Normal]"/>
        <w:spacing w:line="360" w:lineRule="auto"/>
        <w:ind w:firstLine="1134"/>
        <w:jc w:val="both"/>
        <w:rPr>
          <w:lang w:val="es-AR" w:eastAsia="es-AR" w:bidi="es-AR"/>
        </w:rPr>
      </w:pPr>
      <w:r>
        <w:rPr>
          <w:lang w:val="es-AR" w:eastAsia="es-AR" w:bidi="es-AR"/>
        </w:rPr>
        <w:t xml:space="preserve">En definitiva, la falta de acreditación oportuna de la naturaleza y habitualidad de los rubros alegados y el déficit de precisión en la formulación del agravio impiden incorporar tales conceptos al salario base utilizado para cuantificar la incapacidad. </w:t>
      </w:r>
    </w:p>
    <w:p>
      <w:pPr>
        <w:pStyle w:val="[Normal]"/>
        <w:spacing w:line="360" w:lineRule="auto"/>
        <w:ind w:firstLine="1134"/>
        <w:jc w:val="both"/>
        <w:rPr>
          <w:lang w:val="es-AR" w:eastAsia="es-AR" w:bidi="es-AR"/>
        </w:rPr>
      </w:pPr>
      <w:r>
        <w:rPr>
          <w:lang w:val="es-AR" w:eastAsia="es-AR" w:bidi="es-AR"/>
        </w:rPr>
        <w:t xml:space="preserve">Por estas razones, el agravio debe ser rechazado, manteniéndose la base remuneratoria considerada en la sentencia apelada, sin perjuicio de la adecuación del término inicial de la actualización ya dispuesta en el acápite anterior.</w:t>
      </w:r>
    </w:p>
    <w:p>
      <w:pPr>
        <w:pStyle w:val="[Normal]"/>
        <w:spacing w:line="360" w:lineRule="auto"/>
        <w:ind w:firstLine="1134"/>
        <w:jc w:val="both"/>
        <w:rPr>
          <w:lang w:val="es-AR" w:eastAsia="es-AR" w:bidi="es-AR"/>
        </w:rPr>
      </w:pPr>
      <w:r>
        <w:rPr>
          <w:lang w:val="es-AR" w:eastAsia="es-AR" w:bidi="es-AR"/>
        </w:rPr>
        <w:t xml:space="preserve">Seguidamente, es dable proseguir con el al tratamiento del agravio relativo al cómputo de la edad de la víctima en la fórmula de cuantificación del daño por incapacidad. La sentencia apelada tuvo en cuenta 27 años, mientras que la propia actora -al fundar su recurso- señala que al momento del hecho contaba con 29 años, reconociendo expresamente el error fáctico en que incurrió el sentenciante.</w:t>
      </w:r>
    </w:p>
    <w:p>
      <w:pPr>
        <w:pStyle w:val="[Normal]"/>
        <w:spacing w:line="360" w:lineRule="auto"/>
        <w:ind w:firstLine="1134"/>
        <w:jc w:val="both"/>
        <w:rPr>
          <w:lang w:val="es-AR" w:eastAsia="es-AR" w:bidi="es-AR"/>
        </w:rPr>
      </w:pPr>
      <w:r>
        <w:rPr>
          <w:lang w:val="es-AR" w:eastAsia="es-AR" w:bidi="es-AR"/>
        </w:rPr>
        <w:t xml:space="preserve">Entiendo que el planteo debe prosperar. El dato relativo a la edad de la víctima constituye un parámetro objetivo, verificable a partir de la partida de nacimiento obrante en autos (adjunta en presentación electrónica de fecha 10/10/2022), y que incide de manera directa en el cálculo del coeficiente etario de la fórmula Acciarri. No se trata, por tanto, de un elemento sujeto a apreciación judicial o dependiente de la valoración de la prueba, sino de un hecho cierto y documentalmente acreditado cuya consignación errónea en la sentencia -sea por inadvertencia, errata o desliz- debe ser corregida para evitar distorsiones en el quantum indemnizatorio.</w:t>
      </w:r>
    </w:p>
    <w:p>
      <w:pPr>
        <w:pStyle w:val="[Normal]"/>
        <w:spacing w:line="360" w:lineRule="auto"/>
        <w:ind w:firstLine="1134"/>
        <w:jc w:val="both"/>
        <w:rPr>
          <w:lang w:val="es-AR" w:eastAsia="es-AR" w:bidi="es-AR"/>
        </w:rPr>
      </w:pPr>
      <w:r>
        <w:rPr>
          <w:lang w:val="es-AR" w:eastAsia="es-AR" w:bidi="es-AR"/>
        </w:rPr>
        <w:t xml:space="preserve">Ahora bien, corresponde precisar que esta adecuación no vulnera el principio de prohibición de la</w:t>
      </w:r>
      <w:r>
        <w:rPr>
          <w:i/>
          <w:lang w:val="es-AR" w:eastAsia="es-AR" w:bidi="es-AR"/>
        </w:rPr>
        <w:t xml:space="preserve"> reformatio in peius</w:t>
      </w:r>
      <w:r>
        <w:rPr>
          <w:lang w:val="es-AR" w:eastAsia="es-AR" w:bidi="es-AR"/>
        </w:rPr>
        <w:t xml:space="preserve">, toda vez que no importa agravar la situación del recurrente mediante un empeoramiento derivado de su propio recurso. Por el contrario, es la misma parte apelante quien pone en evidencia que la sentencia incurrió en un error material adverso a su posición, lo reconoce expresamente y solicita su rectificación. En tales condiciones, la Cámara no está ampliando de oficio los alcances de la condena ni incorporando cuestiones no sometidas al debate, sino simplemente receptando un planteo que integra el marco objetivo del recurso.</w:t>
      </w:r>
    </w:p>
    <w:p>
      <w:pPr>
        <w:pStyle w:val="[Normal]"/>
        <w:spacing w:line="360" w:lineRule="auto"/>
        <w:ind w:firstLine="1134"/>
        <w:jc w:val="both"/>
        <w:rPr>
          <w:lang w:val="es-AR" w:eastAsia="es-AR" w:bidi="es-AR"/>
        </w:rPr>
      </w:pPr>
      <w:r>
        <w:rPr>
          <w:lang w:val="es-AR" w:eastAsia="es-AR" w:bidi="es-AR"/>
        </w:rPr>
        <w:t xml:space="preserve">La doctrina procesal es uniforme en el sentido de que la reformatio in peius opera únicamente cuando el tribunal introduce un empeoramiento no solicitado por el apelante y que excede los límites de la crítica recursiva (conf. arts. 260, 261 y 272 CPCC). Pero no rige -y no puede regir- cuando el propio recurrente admite un error que perjudica su pretensión y procura su corrección, pues lo contrario importaría petrificar un yerro manifiesto y sostener una decisión judicial arbitrariamente discordante con los hechos acreditados en autos.</w:t>
      </w:r>
    </w:p>
    <w:p>
      <w:pPr>
        <w:pStyle w:val="[Normal]"/>
        <w:spacing w:line="360" w:lineRule="auto"/>
        <w:ind w:firstLine="1134"/>
        <w:jc w:val="both"/>
        <w:rPr>
          <w:lang w:val="es-AR" w:eastAsia="es-AR" w:bidi="es-AR"/>
        </w:rPr>
      </w:pPr>
      <w:r>
        <w:rPr>
          <w:lang w:val="es-AR" w:eastAsia="es-AR" w:bidi="es-AR"/>
        </w:rPr>
        <w:t xml:space="preserve">Desde esta perspectiva, admitir la edad correcta no constituye una innovación procesal ni un exceso revisor, sino la necesaria adecuación del cálculo indemnizatorio a los hechos tal como han sido probados. El ajuste del parámetro etario, además, no altera el resto de las variables fijadas en la sentencia, preserva la estructura de la fórmula aplicada y se limita a corregir un dato objetivo cuya rectificación es imprescindible para que el resarcimiento se corresponda con la realidad fáctica del caso.</w:t>
      </w:r>
    </w:p>
    <w:p>
      <w:pPr>
        <w:pStyle w:val="[Normal]"/>
        <w:spacing w:line="360" w:lineRule="auto"/>
        <w:ind w:firstLine="1134"/>
        <w:jc w:val="both"/>
        <w:rPr>
          <w:lang w:val="es-AR" w:eastAsia="es-AR" w:bidi="es-AR"/>
        </w:rPr>
      </w:pPr>
      <w:r>
        <w:rPr>
          <w:lang w:val="es-AR" w:eastAsia="es-AR" w:bidi="es-AR"/>
        </w:rPr>
        <w:t xml:space="preserve">Por todo lo expuesto, corresponde hacer lugar al agravio y disponer que, a los fines del cómputo del daño por incapacidad, se utilice la edad real de la víctima -29 años- al momento del hecho, procediéndose a la consecuente readecuación del coeficiente etario dentro de la fórmula empleada por el a quo. De este modo se asegura la razonabilidad, coherencia y completitud del cálculo resarcitorio, sin desmedro alguno para las garantías procesales de las partes.</w:t>
      </w:r>
    </w:p>
    <w:p>
      <w:pPr>
        <w:pStyle w:val="[Normal]"/>
        <w:spacing w:line="360" w:lineRule="auto"/>
        <w:ind w:firstLine="1134"/>
        <w:jc w:val="both"/>
        <w:rPr>
          <w:lang w:val="es-AR" w:eastAsia="es-AR" w:bidi="es-AR"/>
        </w:rPr>
      </w:pPr>
      <w:r>
        <w:rPr>
          <w:lang w:val="es-AR" w:eastAsia="es-AR" w:bidi="es-AR"/>
        </w:rPr>
        <w:t xml:space="preserve">Resta entonces definir el rubro cuestionado en función de las variables mencionadas. </w:t>
      </w:r>
    </w:p>
    <w:p>
      <w:pPr>
        <w:pStyle w:val="[Normal]"/>
        <w:spacing w:line="360" w:lineRule="auto"/>
        <w:ind w:firstLine="1134"/>
        <w:jc w:val="both"/>
        <w:rPr>
          <w:lang w:val="es-AR" w:eastAsia="es-AR" w:bidi="es-AR"/>
        </w:rPr>
      </w:pPr>
      <w:r>
        <w:rPr>
          <w:lang w:val="es-AR" w:eastAsia="es-AR" w:bidi="es-AR"/>
        </w:rPr>
        <w:t xml:space="preserve">A los fines de recalibrar el monto indemnizatorio correspondiente al rubro incapacidad parcial y permanente, resulta necesario partir de la metodología utilizada por el sentenciante, preservando íntegramente la estructura de la fórmula Acciarri -esto es, el porcentaje de incapacidad (8,92%), la tasa pura de descuento (4%), la expectativa de vida activa y el esquema probabilístico de variación de ingresos- y modificando únicamente aquellos parámetros cuya incorrección ha sido indicada en esta sentencia. A  saber: la edad al momento del hecho y el ingreso anual efectivo que debía integrar la base de cálculo.</w:t>
      </w:r>
    </w:p>
    <w:p>
      <w:pPr>
        <w:pStyle w:val="[Normal]"/>
        <w:spacing w:line="360" w:lineRule="auto"/>
        <w:ind w:firstLine="1134"/>
        <w:jc w:val="both"/>
        <w:rPr>
          <w:lang w:val="es-AR" w:eastAsia="es-AR" w:bidi="es-AR"/>
        </w:rPr>
      </w:pPr>
      <w:r>
        <w:rPr>
          <w:lang w:val="es-AR" w:eastAsia="es-AR" w:bidi="es-AR"/>
        </w:rPr>
        <w:t xml:space="preserve">En efecto, la sentencia apelada proyectó la renta futura a partir de un ingreso mensual de $850.000, que anualizado con trece mensualizaciones arrojó un ingreso de $11.050.000, y utilizó como edad inicial los 27 años. Ambos datos han sido rectificados, lo que habilita la adecuación del cálculo. De un lado, corresponde considerar el salario actualizado que surge de aplicar la variación del 13,3% sobre el ingreso original, lo que importa trabajar con una remuneración mensual de $963.050 y, por tanto, con un ingreso anual proyectado de $12.519.650. De otro, la edad correcta al momento del siniestro era de 29 años, lo que reduce en dos años la vida laboral computable en el régimen de renta no perpetua previsto por el art. 1746 CCyC y aplicado mediante la fórmula Acciarri.</w:t>
      </w:r>
    </w:p>
    <w:p>
      <w:pPr>
        <w:pStyle w:val="[Normal]"/>
        <w:spacing w:line="360" w:lineRule="auto"/>
        <w:ind w:firstLine="1134"/>
        <w:jc w:val="both"/>
        <w:rPr>
          <w:lang w:val="es-AR" w:eastAsia="es-AR" w:bidi="es-AR"/>
        </w:rPr>
      </w:pPr>
      <w:r>
        <w:rPr>
          <w:lang w:val="es-AR" w:eastAsia="es-AR" w:bidi="es-AR"/>
        </w:rPr>
        <w:t xml:space="preserve">La actualización de ambos parámetros impacta directamente en el valor presente de la renta. El incremento del salario base produce una variación proporcional de la proyección de ingresos futuros, mientras que la edad corregida reduce levemente el horizonte temporal sobre el cual se descuenta la renta, en tanto disminuye la vida productiva remanente. </w:t>
      </w:r>
    </w:p>
    <w:p>
      <w:pPr>
        <w:pStyle w:val="[Normal]"/>
        <w:spacing w:line="360" w:lineRule="auto"/>
        <w:ind w:firstLine="1134"/>
        <w:jc w:val="both"/>
        <w:rPr>
          <w:lang w:val="es-AR" w:eastAsia="es-AR" w:bidi="es-AR"/>
        </w:rPr>
      </w:pPr>
      <w:r>
        <w:rPr>
          <w:lang w:val="es-AR" w:eastAsia="es-AR" w:bidi="es-AR"/>
        </w:rPr>
        <w:t xml:space="preserve">A fin de mantener entonces la coherencia con el método adoptado en la instancia de grado, la corrección debe efectuarse mediante un ajuste proporcional global, construido sobre la relación entre los valores salariales nuevos y los originales, combinada con la reducción relativa del período de vida útil.</w:t>
      </w:r>
    </w:p>
    <w:p>
      <w:pPr>
        <w:pStyle w:val="[Normal]"/>
        <w:spacing w:line="360" w:lineRule="auto"/>
        <w:ind w:firstLine="1134"/>
        <w:jc w:val="both"/>
        <w:rPr>
          <w:lang w:val="es-AR" w:eastAsia="es-AR" w:bidi="es-AR"/>
        </w:rPr>
      </w:pPr>
      <w:r>
        <w:rPr>
          <w:lang w:val="es-AR" w:eastAsia="es-AR" w:bidi="es-AR"/>
        </w:rPr>
        <w:t xml:space="preserve">Concretamente, la relación entre el ingreso anual actualizado ($12.519.650) y el inicialmente empleado por el juzgado ($11.050.000) arroja un coeficiente de 1,133, que refleja el incremento efectivo de la base remunerativa. A su vez, el pasaje de 27 a 29 años reduce la vida laboral teórica proyectada por el a quo de 38 a 36 años, lo que equivale a un coeficiente de 0,947 aproximadamente. La combinación de ambos factores da como resultado un coeficiente correctivo global del orden del 1,073, que representa un incremento neto del 7,3 % sobre el capital calculado en la instancia anterior.</w:t>
      </w:r>
    </w:p>
    <w:p>
      <w:pPr>
        <w:pStyle w:val="[Normal]"/>
        <w:spacing w:line="360" w:lineRule="auto"/>
        <w:ind w:firstLine="1134"/>
        <w:jc w:val="both"/>
        <w:rPr>
          <w:lang w:val="es-AR" w:eastAsia="es-AR" w:bidi="es-AR"/>
        </w:rPr>
      </w:pPr>
      <w:r>
        <w:rPr>
          <w:lang w:val="es-AR" w:eastAsia="es-AR" w:bidi="es-AR"/>
        </w:rPr>
        <w:t xml:space="preserve">Aplicado dicho coeficiente al valor presente determinado por el sentenciante ($17.887.408,43), se obtiene un capital ajustado que asciende a $19.207.551,45. A esta suma corresponde añadir —siguiendo la misma técnica empleada en primera instancia— el 10 % destinado a reflejar el valor económico de las aptitudes vitales y genéricas no estrictamente laborales, lo que importa adicionar $1.920.755,15. </w:t>
      </w:r>
    </w:p>
    <w:p>
      <w:pPr>
        <w:pStyle w:val="[Normal]"/>
        <w:spacing w:line="360" w:lineRule="auto"/>
        <w:ind w:firstLine="1134"/>
        <w:jc w:val="both"/>
        <w:rPr>
          <w:lang w:val="es-AR" w:eastAsia="es-AR" w:bidi="es-AR"/>
        </w:rPr>
      </w:pPr>
      <w:r>
        <w:rPr>
          <w:lang w:val="es-AR" w:eastAsia="es-AR" w:bidi="es-AR"/>
        </w:rPr>
        <w:t xml:space="preserve">De este modo, el monto total indemnizatorio actualizado por incapacidad sobreviniente alcanza la suma de $21.128.306,60, cifra que refleja de manera más fiel y razonable el impacto patrimonial derivado de la incapacidad permanente del 8,92 % acreditada en autos, de conformidad con lo dispuesto por el art. 1746 CCyC. Y, en esa medida, ha de proceder el agravio de la parte actora sobre el punto en cuestión.</w:t>
      </w:r>
    </w:p>
    <w:p>
      <w:pPr>
        <w:pStyle w:val="[Normal]"/>
        <w:spacing w:line="360" w:lineRule="auto"/>
        <w:ind w:firstLine="1134"/>
        <w:jc w:val="both"/>
        <w:rPr>
          <w:lang w:val="es-AR" w:eastAsia="es-AR" w:bidi="es-AR"/>
        </w:rPr>
      </w:pPr>
      <w:r>
        <w:rPr>
          <w:lang w:val="es-AR" w:eastAsia="es-AR" w:bidi="es-AR"/>
        </w:rPr>
        <w:t xml:space="preserve">III.- Seguidamente es menester ingresar al examen del agravio introducido por la demandada relativo a la procedencia y cuantificación del daño moral, rubro que el a quo admitió y valoró sobre la base del cuadro lesivo acreditado en autos. La apelante sostiene, en esencia, que la sentencia habría incurrido en una motivación genérica y dogmática, sin individualizar con precisión los padecimientos experimentados por la víctima ni justificar de manera concreta la magnitud del monto reconocido. Postula, por tanto, que el resarcimiento sería excesivo y carente de adecuado sustento probatorio.</w:t>
      </w:r>
    </w:p>
    <w:p>
      <w:pPr>
        <w:pStyle w:val="[Normal]"/>
        <w:spacing w:line="360" w:lineRule="auto"/>
        <w:ind w:firstLine="1134"/>
        <w:jc w:val="both"/>
        <w:rPr>
          <w:lang w:val="es-AR" w:eastAsia="es-AR" w:bidi="es-AR"/>
        </w:rPr>
      </w:pPr>
      <w:r>
        <w:rPr>
          <w:lang w:val="es-AR" w:eastAsia="es-AR" w:bidi="es-AR"/>
        </w:rPr>
        <w:t xml:space="preserve">Este planteo no puede prosperar. El daño moral, en el régimen de responsabilidad civil vigente, constituye un perjuicio autónomo y resarcible, orientado a compensar el menoscabo espiritual que sufre la persona a raíz del hecho dañoso (arts. 1738 y 1741 CCyC). Y su prueba no requiere la demostración exhaustiva y minuciosa de cada una de las afecciones subjetivas padecidas, pues éstas, por su propia naturaleza, no siempre resultan susceptibles de constatación directa. </w:t>
      </w:r>
    </w:p>
    <w:p>
      <w:pPr>
        <w:pStyle w:val="[Normal]"/>
        <w:spacing w:line="360" w:lineRule="auto"/>
        <w:ind w:firstLine="1134"/>
        <w:jc w:val="both"/>
        <w:rPr>
          <w:lang w:val="es-AR" w:eastAsia="es-AR" w:bidi="es-AR"/>
        </w:rPr>
      </w:pPr>
      <w:r>
        <w:rPr>
          <w:lang w:val="es-AR" w:eastAsia="es-AR" w:bidi="es-AR"/>
        </w:rPr>
        <w:t xml:space="preserve">La jurisprudencia ha reconocido de modo uniforme que, frente a lesiones físicas y secuelas funcionales acreditadas -como las que aquí surgen de la pericia médica-, la existencia de un menoscabo espiritual constituye una consecuencia normal del hecho dañoso, cuya procedencia puede inferirse razonablemente a partir del propio cuadro lesivo. La exigencia de </w:t>
      </w:r>
      <w:r>
        <w:rPr>
          <w:i/>
          <w:lang w:val="es-AR" w:eastAsia="es-AR" w:bidi="es-AR"/>
        </w:rPr>
        <w:t xml:space="preserve">“prueba diabólica”</w:t>
      </w:r>
      <w:r>
        <w:rPr>
          <w:lang w:val="es-AR" w:eastAsia="es-AR" w:bidi="es-AR"/>
        </w:rPr>
        <w:t xml:space="preserve"> del sufrimiento espiritual sería incompatible con la tutela integral de la persona humana que inspira el sistema del Código Civil y Comercial.</w:t>
      </w:r>
    </w:p>
    <w:p>
      <w:pPr>
        <w:pStyle w:val="[Normal]"/>
        <w:spacing w:line="360" w:lineRule="auto"/>
        <w:ind w:firstLine="1134"/>
        <w:jc w:val="both"/>
        <w:rPr>
          <w:lang w:val="es-AR" w:eastAsia="es-AR" w:bidi="es-AR"/>
        </w:rPr>
      </w:pPr>
      <w:r>
        <w:rPr>
          <w:lang w:val="es-AR" w:eastAsia="es-AR" w:bidi="es-AR"/>
        </w:rPr>
        <w:t xml:space="preserve">Sobre este piso de marcha, ha dicho este Tribunal que: </w:t>
      </w:r>
      <w:r>
        <w:rPr>
          <w:i/>
          <w:lang w:val="es-AR" w:eastAsia="es-AR" w:bidi="es-AR"/>
        </w:rPr>
        <w:t xml:space="preserve">"como en esta materia es imposible producir prueba directa sobre el perjuicio padecido dado que la índole espiritual y subjetiva del menoscabo suele ser insusceptible de este tipo de acreditación, cobra valor la prueba indirecta la que con frecuencia -y como acontece en la especie- surge in re ipsa del hecho dañoso integralmente considerado"</w:t>
      </w:r>
      <w:r>
        <w:rPr>
          <w:lang w:val="es-AR" w:eastAsia="es-AR" w:bidi="es-AR"/>
        </w:rPr>
        <w:t xml:space="preserve">.  Al decir de Bustamante Alsina, </w:t>
      </w:r>
      <w:r>
        <w:rPr>
          <w:i/>
          <w:lang w:val="es-AR" w:eastAsia="es-AR" w:bidi="es-AR"/>
        </w:rPr>
        <w:t xml:space="preserve">"...no creemos que el agravio moral debe ser objeto de prueba directa, pues ello resulta absolutamente imposible por la índole del mismo que reside en lo más íntimo de la personalidad...´ (BUSTAMANTE ALSINA, Equitativa valuación del daño no mensurable, LL, 1990-A-655). (...) Así pues la prueba indirecta del daño moral encuentra en los indicios y en las presunciones hominis, su modo natural de realización.  Deben, de tal modo, probarse los hechos en los que se basa la presunción.  En la razonable conexión entre el hecho indicativo (el cual no está exento de prueba) y el hecho indicado yace la eficacia de la prueba presuncional (art. 384 del CPBA; así también lo ha estimado esta Cámara en los autos N° en los autos N° 2204- 14 caratulados "Bada, Yesica Rita c/ Cantore, Luciano y otro/a s/ Daños y Perj. del./cuas. (Exc. uso Aut. y estado)"</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En el caso, la sentencia apelada no se limitó a una formulación retórica ni a una mera presunción automática: valoró la entidad objetiva de las lesiones verificadas, sus repercusiones en la actividad cotidiana de la víctima, la afectación de su vida de relación y la perturbación emocional derivada del proceso de rehabilitación. </w:t>
      </w:r>
    </w:p>
    <w:p>
      <w:pPr>
        <w:pStyle w:val="[Normal]"/>
        <w:spacing w:line="360" w:lineRule="auto"/>
        <w:ind w:firstLine="1134"/>
        <w:jc w:val="both"/>
        <w:rPr>
          <w:lang w:val="es-AR" w:eastAsia="es-AR" w:bidi="es-AR"/>
        </w:rPr>
      </w:pPr>
      <w:r>
        <w:rPr>
          <w:lang w:val="es-AR" w:eastAsia="es-AR" w:bidi="es-AR"/>
        </w:rPr>
        <w:t xml:space="preserve">Tales extremos se desprenden del plexo probatorio, en particular de la pericia médica (ver presentación de fecha 20/11/23) y de los antecedentes asistenciales acompañados (ver constancias documentales adjuntas a demanda de fecha 10/10/2022), los cuales dan cuenta de un período extendido de convalecencia, restricciones funcionales persistentes y la alteración de hábitos y actividades que integraban su dinámica vital. </w:t>
      </w:r>
    </w:p>
    <w:p>
      <w:pPr>
        <w:pStyle w:val="[Normal]"/>
        <w:spacing w:line="360" w:lineRule="auto"/>
        <w:ind w:firstLine="1134"/>
        <w:jc w:val="both"/>
        <w:rPr>
          <w:lang w:val="es-AR" w:eastAsia="es-AR" w:bidi="es-AR"/>
        </w:rPr>
      </w:pPr>
      <w:r>
        <w:rPr>
          <w:lang w:val="es-AR" w:eastAsia="es-AR" w:bidi="es-AR"/>
        </w:rPr>
        <w:t xml:space="preserve">Estos elementos constituyen pautas objetivas suficientes para sustentar la procedencia del rubro.</w:t>
      </w:r>
    </w:p>
    <w:p>
      <w:pPr>
        <w:pStyle w:val="[Normal]"/>
        <w:spacing w:line="360" w:lineRule="auto"/>
        <w:ind w:firstLine="1134"/>
        <w:jc w:val="both"/>
        <w:rPr>
          <w:lang w:val="es-AR" w:eastAsia="es-AR" w:bidi="es-AR"/>
        </w:rPr>
      </w:pPr>
      <w:r>
        <w:rPr>
          <w:lang w:val="es-AR" w:eastAsia="es-AR" w:bidi="es-AR"/>
        </w:rPr>
        <w:t xml:space="preserve">Tampoco es atendible el argumento relativo a la falta de fundamentación. La cuantificación del daño moral no obedece a fórmulas matemáticas ni a criterios tarifados; requiere de una ponderación cualitativa que atienda a la intensidad del padecimiento, su duración, las características de la víctima y las circunstancias del hecho, dentro de un marco de razonabilidad y prudencia judicial. En este sentido, la sentencia apelada desarrolló tales lineamientos, explicitando los elementos fácticos y valorativos que tuvo en consideración.</w:t>
      </w:r>
    </w:p>
    <w:p>
      <w:pPr>
        <w:pStyle w:val="[Normal]"/>
        <w:spacing w:line="360" w:lineRule="auto"/>
        <w:ind w:firstLine="1134"/>
        <w:jc w:val="both"/>
        <w:rPr>
          <w:lang w:val="es-AR" w:eastAsia="es-AR" w:bidi="es-AR"/>
        </w:rPr>
      </w:pPr>
      <w:r>
        <w:rPr>
          <w:lang w:val="es-AR" w:eastAsia="es-AR" w:bidi="es-AR"/>
        </w:rPr>
        <w:t xml:space="preserve">Por último, la crítica basada en la supuesta “exorbitancia” del monto fijado carece de sustento, en tanto la apelante no desarrolla una crítica concreta y razonada del razonamiento del a quo, ni identifica en qué aspecto específico la valoración de los padecimientos habría sido exagerada, o cuáles elementos probatorios impondrían un resultado diverso. La mera invocación de que </w:t>
      </w:r>
      <w:r>
        <w:rPr>
          <w:i/>
          <w:lang w:val="es-AR" w:eastAsia="es-AR" w:bidi="es-AR"/>
        </w:rPr>
        <w:t xml:space="preserve">“no se acreditó el daño moral”</w:t>
      </w:r>
      <w:r>
        <w:rPr>
          <w:lang w:val="es-AR" w:eastAsia="es-AR" w:bidi="es-AR"/>
        </w:rPr>
        <w:t xml:space="preserve"> o de que el monto </w:t>
      </w:r>
      <w:r>
        <w:rPr>
          <w:i/>
          <w:lang w:val="es-AR" w:eastAsia="es-AR" w:bidi="es-AR"/>
        </w:rPr>
        <w:t xml:space="preserve">“es elevado” </w:t>
      </w:r>
      <w:r>
        <w:rPr>
          <w:lang w:val="es-AR" w:eastAsia="es-AR" w:bidi="es-AR"/>
        </w:rPr>
        <w:t xml:space="preserve">no satisface el estándar de impugnación requerido por los arts. 260 y 261 del CPCC. La carga de desvirtuar la motivación del fallo no puede cumplirse con afirmaciones genéricas ni con oposición meramente declarativa.</w:t>
      </w:r>
    </w:p>
    <w:p>
      <w:pPr>
        <w:pStyle w:val="[Normal]"/>
        <w:spacing w:line="360" w:lineRule="auto"/>
        <w:ind w:firstLine="1134"/>
        <w:jc w:val="both"/>
        <w:rPr>
          <w:lang w:val="es-AR" w:eastAsia="es-AR" w:bidi="es-AR"/>
        </w:rPr>
      </w:pPr>
      <w:r>
        <w:rPr>
          <w:lang w:val="es-AR" w:eastAsia="es-AR" w:bidi="es-AR"/>
        </w:rPr>
        <w:t xml:space="preserve">En virtud de lo expuesto, y considerando que el monto fijado por el sentenciante guarda adecuada proporción con la entidad del daño sufrido y con los criterios de prudencia propios de este tipo de resarcimiento, el agravio debe ser rechazado, manteniéndose la procedencia del rubro y la cuantificación establecida en la instancia de grado.</w:t>
      </w:r>
    </w:p>
    <w:p>
      <w:pPr>
        <w:pStyle w:val="[Normal]"/>
        <w:spacing w:line="360" w:lineRule="auto"/>
        <w:ind w:firstLine="1134"/>
        <w:jc w:val="both"/>
        <w:rPr>
          <w:lang w:val="es-AR" w:eastAsia="es-AR" w:bidi="es-AR"/>
        </w:rPr>
      </w:pPr>
      <w:r>
        <w:rPr>
          <w:lang w:val="es-AR" w:eastAsia="es-AR" w:bidi="es-AR"/>
        </w:rPr>
        <w:t xml:space="preserve">En lo que atañe al agravio deducido por la parte actora en torno a la insuficiencia del monto reconocido en concepto de daño moral, adelanto que corresponde hacer lugar a la queja, aunque de manera parcial.</w:t>
      </w:r>
    </w:p>
    <w:p>
      <w:pPr>
        <w:pStyle w:val="[Normal]"/>
        <w:spacing w:line="360" w:lineRule="auto"/>
        <w:ind w:firstLine="1134"/>
        <w:jc w:val="both"/>
        <w:rPr>
          <w:lang w:val="es-AR" w:eastAsia="es-AR" w:bidi="es-AR"/>
        </w:rPr>
      </w:pPr>
      <w:r>
        <w:rPr>
          <w:lang w:val="es-AR" w:eastAsia="es-AR" w:bidi="es-AR"/>
        </w:rPr>
        <w:t xml:space="preserve">A tal efecto, es dable referir que el a quo fijó por este concepto la suma de $ 6.250.000, tomando en consideración los padecimientos físicos y espirituales derivados del accidente, las restricciones funcionales y las secuelas cicatrizales que afectan a la víctima. </w:t>
      </w:r>
    </w:p>
    <w:p>
      <w:pPr>
        <w:pStyle w:val="[Normal]"/>
        <w:spacing w:line="360" w:lineRule="auto"/>
        <w:ind w:firstLine="1134"/>
        <w:jc w:val="both"/>
        <w:rPr>
          <w:lang w:val="es-AR" w:eastAsia="es-AR" w:bidi="es-AR"/>
        </w:rPr>
      </w:pPr>
      <w:r>
        <w:rPr>
          <w:lang w:val="es-AR" w:eastAsia="es-AR" w:bidi="es-AR"/>
        </w:rPr>
        <w:t xml:space="preserve">La parte actora sostiene que tal cuantía no refleja adecuadamente la entidad del menoscabo extrapatrimonial sufrido, en especial si se la pone en relación con las características de las lesiones, su edad y actividad, y el tiempo de convalecencia.</w:t>
      </w:r>
    </w:p>
    <w:p>
      <w:pPr>
        <w:pStyle w:val="[Normal]"/>
        <w:spacing w:line="360" w:lineRule="auto"/>
        <w:ind w:firstLine="1134"/>
        <w:jc w:val="both"/>
        <w:rPr>
          <w:lang w:val="es-AR" w:eastAsia="es-AR" w:bidi="es-AR"/>
        </w:rPr>
      </w:pPr>
      <w:r>
        <w:rPr>
          <w:lang w:val="es-AR" w:eastAsia="es-AR" w:bidi="es-AR"/>
        </w:rPr>
        <w:t xml:space="preserve">En la especie, se encuentran demostradas secuelas físicas permanentes (cicatriz en rostro, limitación funcional del tobillo, dolor residual en el pie por fractura de falange) y un cuadro secuelar definitivo, conforme surge de la pericia médica del Dr. Juan Manuel Lolo de fecha 20/11/2023 y de la documentación asistencial e historia clínica incorporadas en escrito electrónico de fecha 10/10/2022, que guardan correlato cronológico y fáctico con el siniestro. Tales lesiones -aun cuando no impidan el desempeño de la actora como oficial de policía- implican dolor físico, necesidad de someterse a tratamientos médicos, restricciones transitorias en su vida cotidiana, y la carga anímica de portar una marca visible en el rostro, con las naturales repercusiones en su vida de relación.</w:t>
      </w:r>
    </w:p>
    <w:p>
      <w:pPr>
        <w:pStyle w:val="[Normal]"/>
        <w:spacing w:line="360" w:lineRule="auto"/>
        <w:ind w:firstLine="1134"/>
        <w:jc w:val="both"/>
        <w:rPr>
          <w:lang w:val="es-AR" w:eastAsia="es-AR" w:bidi="es-AR"/>
        </w:rPr>
      </w:pPr>
      <w:r>
        <w:rPr>
          <w:lang w:val="es-AR" w:eastAsia="es-AR" w:bidi="es-AR"/>
        </w:rPr>
        <w:t xml:space="preserve">Ahora bien, también debe ponderarse que la pericia psicológica producida en autos, a cargo de la Lic. María Teresa Pérez Delbene (03/11/2023), concluyó en la inexistencia de daño psíquico actual desencadenado por el hecho, destacando que la actora presenta una estructura de personalidad integrada, sin signos de patología mental franca, ha logrado sobrellevar y superar los obstáculos que le generó el accidente y cuenta con un sólido sostén familiar, social y laboral, funcionando anímicamente de modo estable. Este elemento, lejos de excluir el daño moral, indica que el sufrimiento espiritual no alcanzó la intensidad propia de cuadros regresivos o desorganizadores, y funciona como límite objetivo frente a pretensiones resarcitorias desmedidas.</w:t>
      </w:r>
    </w:p>
    <w:p>
      <w:pPr>
        <w:pStyle w:val="[Normal]"/>
        <w:spacing w:line="360" w:lineRule="auto"/>
        <w:ind w:firstLine="1134"/>
        <w:jc w:val="both"/>
        <w:rPr>
          <w:lang w:val="es-AR" w:eastAsia="es-AR" w:bidi="es-AR"/>
        </w:rPr>
      </w:pPr>
      <w:r>
        <w:rPr>
          <w:lang w:val="es-AR" w:eastAsia="es-AR" w:bidi="es-AR"/>
        </w:rPr>
        <w:t xml:space="preserve">En este contexto global, el monto fijado en la instancia de grado se revela parcialmente insuficiente si se lo confronta con: 1) la entidad de las lesiones físicas y secuelas permanentes acreditadas; 2) la edad de la víctima al momento del hecho y el impacto que un accidente de tránsito con tales consecuencias tiene en una persona joven; 3) la afectación de actividades ordinarias, recreativas y de la vida de relación durante el período de convalecencia; y 4) la pauta de reparación plena que exige otorgar al menos una compensación razonablemente proporcional al daño patrimonial reconocido por incapacidad. Máxime cuando en este mismo pronunciamiento se ha dispuesto un reajuste al alza del capital por incapacidad sobreviniente, lo que torna necesario armonizar la cuantificación del daño moral para mantener una relación equilibrada entre la faz patrimonial y la extrapatrimonial del perjuicio.</w:t>
      </w:r>
    </w:p>
    <w:p>
      <w:pPr>
        <w:pStyle w:val="[Normal]"/>
        <w:spacing w:line="360" w:lineRule="auto"/>
        <w:ind w:firstLine="1134"/>
        <w:jc w:val="both"/>
        <w:rPr>
          <w:lang w:val="es-AR" w:eastAsia="es-AR" w:bidi="es-AR"/>
        </w:rPr>
      </w:pPr>
      <w:r>
        <w:rPr>
          <w:lang w:val="es-AR" w:eastAsia="es-AR" w:bidi="es-AR"/>
        </w:rPr>
        <w:t xml:space="preserve">Con todo, no corresponde acceder íntegramente al quantum pretendido por la actora, pues ello desdibujaría la función compensatoria del rubro, acercándolo a niveles propios de supuestos con incapacidades mucho más gravosas o con secuelas psíquicas de entidad, extremos que aquí no se configuran. </w:t>
      </w:r>
    </w:p>
    <w:p>
      <w:pPr>
        <w:pStyle w:val="[Normal]"/>
        <w:spacing w:line="360" w:lineRule="auto"/>
        <w:ind w:firstLine="1134"/>
        <w:jc w:val="both"/>
        <w:rPr>
          <w:lang w:val="es-AR" w:eastAsia="es-AR" w:bidi="es-AR"/>
        </w:rPr>
      </w:pPr>
      <w:r>
        <w:rPr>
          <w:lang w:val="es-AR" w:eastAsia="es-AR" w:bidi="es-AR"/>
        </w:rPr>
        <w:t xml:space="preserve">Atendiendo entonces a las circunstancias singulares del caso, al cuadro clínico efectivamente constatado, al resultado de la pericia psicológica y a los parámetros usuales de este Tribunal para hechos de similar entidad lesiva, estimo adecuado elevar moderadamente la suma reconocida en concepto de daño moral, fijándola en $ 7.500.000, manteniéndose incólumes las pautas de actualización e intereses y dispuestas en la sentencia de grado en relación al presente rubro.</w:t>
      </w:r>
    </w:p>
    <w:p>
      <w:pPr>
        <w:pStyle w:val="[Normal]"/>
        <w:spacing w:line="360" w:lineRule="auto"/>
        <w:ind w:firstLine="1134"/>
        <w:jc w:val="both"/>
        <w:rPr>
          <w:lang w:val="es-AR" w:eastAsia="es-AR" w:bidi="es-AR"/>
        </w:rPr>
      </w:pPr>
      <w:r>
        <w:rPr>
          <w:lang w:val="es-AR" w:eastAsia="es-AR" w:bidi="es-AR"/>
        </w:rPr>
        <w:t xml:space="preserve">De este modo se atiende la sustancia del agravio de la actora -corrigiendo un monto ligeramente exiguo- sin desbordar los márgenes de razonabilidad y proporcionalidad que deben regir este tipo de resarcimiento. En consecuencia, el agravio debe ser admitido parcialmente, en el sentido indicado.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Hacer lugar parcialmente al recurso de apelación interpuesto por la parte actora, determinando el daño moral en la suma de $ 7.500.000 y readecuando el término inicial de la actualización dispuesta en la sentencia de grado a</w:t>
      </w:r>
      <w:r>
        <w:rPr>
          <w:b/>
          <w:lang w:val="es-AR" w:eastAsia="es-AR" w:bidi="es-AR"/>
        </w:rPr>
        <w:t xml:space="preserve"> </w:t>
      </w:r>
      <w:r>
        <w:rPr>
          <w:lang w:val="es-AR" w:eastAsia="es-AR" w:bidi="es-AR"/>
        </w:rPr>
        <w:t xml:space="preserve">enero de 2025</w:t>
      </w:r>
      <w:r>
        <w:rPr>
          <w:b/>
          <w:lang w:val="es-AR" w:eastAsia="es-AR" w:bidi="es-AR"/>
        </w:rPr>
        <w:t xml:space="preserve"> </w:t>
      </w:r>
      <w:r>
        <w:rPr>
          <w:lang w:val="es-AR" w:eastAsia="es-AR" w:bidi="es-AR"/>
        </w:rPr>
        <w:t xml:space="preserve">para el rubro daño por incapacidad. Con costas a la parte demandada y citada en garantía (art. 68/69 del CPCCBA). Confirmando en todo lo demás la sentencia apelada.</w:t>
      </w:r>
    </w:p>
    <w:p>
      <w:pPr>
        <w:pStyle w:val="[Normal]"/>
        <w:spacing w:line="360" w:lineRule="auto"/>
        <w:ind w:firstLine="1134"/>
        <w:jc w:val="both"/>
        <w:rPr>
          <w:lang w:val="es-AR" w:eastAsia="es-AR" w:bidi="es-AR"/>
        </w:rPr>
      </w:pPr>
      <w:r>
        <w:rPr>
          <w:lang w:val="es-AR" w:eastAsia="es-AR" w:bidi="es-AR"/>
        </w:rPr>
        <w:t xml:space="preserve">2) Rechazar el recurso de apelación interpuesto por la parte demandada. Con costas a la parte demandada y citada en garantía (art. 68/69 del CPCCBA).</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respectiva (art. 31 de la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Hacer lugar parcialmente al recurso de apelación interpuesto por la parte actora, determinando el daño moral en la suma de $ 7.500.000 y readecuando el término inicial de la actualización dispuesta en la sentencia de grado a enero de 2025 para el rubro daño por incapacidad. Con costas a la parte demandada y citada en garantía (art. 68/69 del CPCCBA). Confirmando en todo lo demás la sentencia apelada.</w:t>
      </w:r>
    </w:p>
    <w:p>
      <w:pPr>
        <w:pStyle w:val="[Normal]"/>
        <w:spacing w:line="360" w:lineRule="auto"/>
        <w:ind w:firstLine="1134"/>
        <w:jc w:val="both"/>
        <w:rPr>
          <w:lang w:val="es-AR" w:eastAsia="es-AR" w:bidi="es-AR"/>
        </w:rPr>
      </w:pPr>
      <w:r>
        <w:rPr>
          <w:lang w:val="es-AR" w:eastAsia="es-AR" w:bidi="es-AR"/>
        </w:rPr>
        <w:t xml:space="preserve">2) Rechazar el recurso de apelación interpuesto por la parte demandada. Con costas a la parte demandada y citada en garantía (art. 68/69 del CPCCBA).</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respectiva (art. 31 de la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20268073184@NOTIFICACIONES.SCBA.GOV.AR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20140765032@NOTIFICACIONES.SCBA.GOV.AR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18/12/2025 10:02:29 -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18/12/2025 10:30:08 -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18/12/2025 11:51:20 - MOREA Adrian Oscar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‰9*")è&amp;e$y†Š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251002090006690489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18/12/2025 11:51:41 hs. bajo el número RS-189-2025 por MOREA ADRIAN OSCAR.</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