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5610-25</w:t>
      </w:r>
      <w:r>
        <w:rPr>
          <w:lang w:val="es-AR" w:eastAsia="es-AR" w:bidi="es-AR"/>
        </w:rPr>
        <w:t xml:space="preserve"> caratulada </w:t>
      </w:r>
      <w:r>
        <w:rPr>
          <w:b/>
          <w:lang w:val="es-AR" w:eastAsia="es-AR" w:bidi="es-AR"/>
        </w:rPr>
        <w:t xml:space="preserve">"</w:t>
      </w:r>
      <w:r>
        <w:rPr>
          <w:b/>
          <w:color w:val="000000"/>
          <w:lang w:val="es-AR" w:eastAsia="es-AR" w:bidi="es-AR"/>
        </w:rPr>
        <w:t xml:space="preserve">GALLO ARIEL HUMBERTO C/ GUTIERREZ MANUEL SANTIAGO Y OTRO/A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88.969</w:t>
      </w:r>
      <w:r>
        <w:rPr>
          <w:color w:val="000000"/>
          <w:lang w:val="es-AR" w:eastAsia="es-AR" w:bidi="es-AR"/>
        </w:rPr>
        <w:t xml:space="preserve"> </w:t>
      </w:r>
      <w:r>
        <w:rPr>
          <w:lang w:val="es-AR" w:eastAsia="es-AR" w:bidi="es-AR"/>
        </w:rPr>
        <w:t xml:space="preserve">del Juzgado en lo Civil y Comercial n° 2,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declaró la inconstitucionalidad sobrevenida de los arts. 7 y 10 de la ley 23.928, según ley 25.561 del mismo modo que su inaplicabilidad al caso, a fin de disponer una equitativa actualización del crédito adeudado. Hizo lugar a la demanda incoada y, en consecuencia, condenó a la parte demandada y la citada en garantía, Sr. Manuel Santiago Gutierrez y a Triunfo Cooperativa de Seguros Limitada, a abonar la parte actora, Sr. Ariel Humberto Gallo, dentro de los diez (10) días de notificada la presente, la suma de TREINTA Y DOS MILLONES QUINIENTOS TREINTA MIL CUATROCIENTOS SETENTA Y SEIS Pesos ($32.530.476), actualizable según lo dispuesto en el considerando VIII, con más sus respectivos intereses calculados en la forma establecida en el considerando VII, a partir de la fecha del hecho (21/10/2022) y hasta el momento de su efectivo pago . Aplicó las costas a la parte demandada y a la citada en garantía que resultan vencidas. Difirió la regulación de honorarios de los letrados intervinientes y del perito, hasta que medie firme la respectiva liquidación de intereses y gastos (art. 51 ley 14.967).</w:t>
      </w:r>
    </w:p>
    <w:p>
      <w:pPr>
        <w:pStyle w:val="[Normal]"/>
        <w:spacing w:line="360" w:lineRule="auto"/>
        <w:ind w:firstLine="1134"/>
        <w:jc w:val="both"/>
        <w:rPr>
          <w:lang w:val="es-AR" w:eastAsia="es-AR" w:bidi="es-AR"/>
        </w:rPr>
      </w:pPr>
      <w:r>
        <w:rPr>
          <w:lang w:val="es-AR" w:eastAsia="es-AR" w:bidi="es-AR"/>
        </w:rPr>
        <w:t xml:space="preserve">Disconforme con lo resuelto, interponen recursos de apelación la parte actora el 1-7-2025 y la citada en garantía en fecha 26-6-2025, quienes expresan agravios el 14-8-2025 y el 27-8-2025 respectivamente. Habiendo contestado los traslados conferidos el 9-9-2025 la parte actora y el 12-9-2025 la citada en garantía.-</w:t>
      </w:r>
    </w:p>
    <w:p>
      <w:pPr>
        <w:pStyle w:val="[Normal]"/>
        <w:spacing w:line="360" w:lineRule="auto"/>
        <w:ind w:firstLine="1134"/>
        <w:jc w:val="both"/>
        <w:rPr>
          <w:lang w:val="es-AR" w:eastAsia="es-AR" w:bidi="es-AR"/>
        </w:rPr>
      </w:pPr>
      <w:r>
        <w:rPr>
          <w:lang w:val="es-AR" w:eastAsia="es-AR" w:bidi="es-AR"/>
        </w:rPr>
        <w:t xml:space="preserve">En fecha 16-9-2025 llamamiento de autos para sentencia proveído que firme a la fecha deja la causa en condiciones de ser fallada.-</w:t>
      </w:r>
    </w:p>
    <w:p>
      <w:pPr>
        <w:pStyle w:val="[Normal]"/>
        <w:spacing w:line="360" w:lineRule="auto"/>
        <w:ind w:firstLine="1134"/>
        <w:jc w:val="both"/>
        <w:rPr>
          <w:b/>
          <w:u w:val="single"/>
          <w:lang w:val="es-AR" w:eastAsia="es-AR" w:bidi="es-AR"/>
        </w:rPr>
      </w:pPr>
      <w:r>
        <w:rPr>
          <w:b/>
          <w:u w:val="single"/>
          <w:lang w:val="es-AR" w:eastAsia="es-AR" w:bidi="es-AR"/>
        </w:rPr>
        <w:t xml:space="preserve">Agravios parte actora:</w:t>
      </w:r>
    </w:p>
    <w:p>
      <w:pPr>
        <w:pStyle w:val="[Normal]"/>
        <w:spacing w:line="360" w:lineRule="auto"/>
        <w:ind w:firstLine="1134"/>
        <w:jc w:val="both"/>
        <w:rPr>
          <w:lang w:val="es-AR" w:eastAsia="es-AR" w:bidi="es-AR"/>
        </w:rPr>
      </w:pPr>
      <w:r>
        <w:rPr>
          <w:lang w:val="es-AR" w:eastAsia="es-AR" w:bidi="es-AR"/>
        </w:rPr>
        <w:t xml:space="preserve">Comienza su crítica la quejosa señalando el error en la determinación del porcentaje de incapacidad establecido en la sentencia de grado. Indica que el perito médico consignó de manera expresa los porcentajes correspondientes a cada una de las afecciones evaluadas —fractura de rótula con desplazamiento y buena congruencia articular (11%), limitación funcional de rodilla (4%) y cervicobraquialgia (6%)—, lo que arroja una incapacidad total del 21% conforme la suma aritmética de dichos valores.-</w:t>
      </w:r>
    </w:p>
    <w:p>
      <w:pPr>
        <w:pStyle w:val="[Normal]"/>
        <w:spacing w:line="360" w:lineRule="auto"/>
        <w:ind w:firstLine="1134"/>
        <w:jc w:val="both"/>
        <w:rPr>
          <w:lang w:val="es-AR" w:eastAsia="es-AR" w:bidi="es-AR"/>
        </w:rPr>
      </w:pPr>
      <w:r>
        <w:rPr>
          <w:lang w:val="es-AR" w:eastAsia="es-AR" w:bidi="es-AR"/>
        </w:rPr>
        <w:t xml:space="preserve">Advierte que se tomó erróneamente como base un porcentaje del 20,1% y solicita la corrección del referido desacierto y la fijación del monto indemnizatorio sobre la base del 21% de incapacidad, con su adecuada actualización.-</w:t>
      </w:r>
    </w:p>
    <w:p>
      <w:pPr>
        <w:pStyle w:val="[Normal]"/>
        <w:spacing w:line="360" w:lineRule="auto"/>
        <w:ind w:firstLine="1134"/>
        <w:jc w:val="both"/>
        <w:rPr>
          <w:lang w:val="es-AR" w:eastAsia="es-AR" w:bidi="es-AR"/>
        </w:rPr>
      </w:pPr>
      <w:r>
        <w:rPr>
          <w:lang w:val="es-AR" w:eastAsia="es-AR" w:bidi="es-AR"/>
        </w:rPr>
        <w:t xml:space="preserve">Cuestiona el rechazo del rubro “incapacidad transitoria”, señalando que constituye un error afirmar que no se acreditó afectación alguna en los ingresos durante el período de recuperación.-</w:t>
      </w:r>
    </w:p>
    <w:p>
      <w:pPr>
        <w:pStyle w:val="[Normal]"/>
        <w:spacing w:line="360" w:lineRule="auto"/>
        <w:ind w:firstLine="1134"/>
        <w:jc w:val="both"/>
        <w:rPr>
          <w:lang w:val="es-AR" w:eastAsia="es-AR" w:bidi="es-AR"/>
        </w:rPr>
      </w:pPr>
      <w:r>
        <w:rPr>
          <w:lang w:val="es-AR" w:eastAsia="es-AR" w:bidi="es-AR"/>
        </w:rPr>
        <w:t xml:space="preserve">Sostiene que la prueba testimonial rendida en autos demuestra que como consecuencia directa del hecho dañoso, el actor dedicado al lavado artesanal de automóviles se encontró impedido de trabajar durante aproximadamente seis meses.-</w:t>
      </w:r>
    </w:p>
    <w:p>
      <w:pPr>
        <w:pStyle w:val="[Normal]"/>
        <w:spacing w:line="360" w:lineRule="auto"/>
        <w:ind w:firstLine="1134"/>
        <w:jc w:val="both"/>
        <w:rPr>
          <w:lang w:val="es-AR" w:eastAsia="es-AR" w:bidi="es-AR"/>
        </w:rPr>
      </w:pPr>
      <w:r>
        <w:rPr>
          <w:lang w:val="es-AR" w:eastAsia="es-AR" w:bidi="es-AR"/>
        </w:rPr>
        <w:t xml:space="preserve">Argumenta que la facturación generada durante ese período no refleja ingresos personales, sino únicamente la necesidad de mantener abierto el negocio. Por lo tanto, la imposibilidad de trabajar de manera personal quedó debidamente acreditada, lo que impone reconocer el rubro indemnizatorio por incapacidad transitoria, con la correspondiente actualización de valores.-</w:t>
      </w:r>
    </w:p>
    <w:p>
      <w:pPr>
        <w:pStyle w:val="[Normal]"/>
        <w:spacing w:line="360" w:lineRule="auto"/>
        <w:ind w:firstLine="1134"/>
        <w:jc w:val="both"/>
        <w:rPr>
          <w:lang w:val="es-AR" w:eastAsia="es-AR" w:bidi="es-AR"/>
        </w:rPr>
      </w:pPr>
      <w:r>
        <w:rPr>
          <w:lang w:val="es-AR" w:eastAsia="es-AR" w:bidi="es-AR"/>
        </w:rPr>
        <w:t xml:space="preserve">Se duele del exiguo monto reconocido en concepto de gastos médicos. Señala que el sentenciante sustentó la reducción del rubro en que la atención inicial se efectuó en un hospital público, omitiendo considerar que el actor continuó su tratamiento íntegramente en el ámbito privado.-</w:t>
      </w:r>
    </w:p>
    <w:p>
      <w:pPr>
        <w:pStyle w:val="[Normal]"/>
        <w:spacing w:line="360" w:lineRule="auto"/>
        <w:ind w:firstLine="1134"/>
        <w:jc w:val="both"/>
        <w:rPr>
          <w:lang w:val="es-AR" w:eastAsia="es-AR" w:bidi="es-AR"/>
        </w:rPr>
      </w:pPr>
      <w:r>
        <w:rPr>
          <w:lang w:val="es-AR" w:eastAsia="es-AR" w:bidi="es-AR"/>
        </w:rPr>
        <w:t xml:space="preserve">Solicita la elevación del rubro, tomando como referencia lo reclamado en la demanda y aplicando una actualización equitativa mediante el Índice de Precios al Consumidor.-</w:t>
      </w:r>
    </w:p>
    <w:p>
      <w:pPr>
        <w:pStyle w:val="[Normal]"/>
        <w:spacing w:line="360" w:lineRule="auto"/>
        <w:ind w:firstLine="1134"/>
        <w:jc w:val="both"/>
        <w:rPr>
          <w:lang w:val="es-AR" w:eastAsia="es-AR" w:bidi="es-AR"/>
        </w:rPr>
      </w:pPr>
      <w:r>
        <w:rPr>
          <w:lang w:val="es-AR" w:eastAsia="es-AR" w:bidi="es-AR"/>
        </w:rPr>
        <w:t xml:space="preserve">Se queja del insuficiente monto fijado en concepto de daño moral. Manifiesta que no se ponderó adecuadamente las circunstancias acreditadas en autos, entre ellas: la gravedad del accidente sufrido; la entidad de las lesiones que derivaron en un elevado porcentaje de incapacidad; la necesidad de someterse a dos intervenciones quirúrgicas con los riesgos inherentes; la imposibilidad de continuar practicando el deporte que realizaba desde temprana edad, con su consecuente afectación anímica, social y emocional-</w:t>
      </w:r>
    </w:p>
    <w:p>
      <w:pPr>
        <w:pStyle w:val="[Normal]"/>
        <w:spacing w:line="360" w:lineRule="auto"/>
        <w:ind w:firstLine="1134"/>
        <w:jc w:val="both"/>
        <w:rPr>
          <w:lang w:val="es-AR" w:eastAsia="es-AR" w:bidi="es-AR"/>
        </w:rPr>
      </w:pPr>
      <w:r>
        <w:rPr>
          <w:lang w:val="es-AR" w:eastAsia="es-AR" w:bidi="es-AR"/>
        </w:rPr>
        <w:t xml:space="preserve">Considera que todos estos elementos debieron traducirse en una reparación más adecuada, por lo que solicita la elevación del monto a fin de asegurar una indemnización justa.-</w:t>
      </w:r>
    </w:p>
    <w:p>
      <w:pPr>
        <w:pStyle w:val="[Normal]"/>
        <w:spacing w:line="360" w:lineRule="auto"/>
        <w:ind w:firstLine="1134"/>
        <w:jc w:val="both"/>
        <w:rPr>
          <w:b/>
          <w:u w:val="single"/>
          <w:lang w:val="es-AR" w:eastAsia="es-AR" w:bidi="es-AR"/>
        </w:rPr>
      </w:pPr>
      <w:r>
        <w:rPr>
          <w:lang w:val="es-AR" w:eastAsia="es-AR" w:bidi="es-AR"/>
        </w:rPr>
        <w:t xml:space="preserve">Pide se haga lugar al recurso interpuesto y se modifique el fallo en lo que ha sido materia de impugnación.-</w:t>
      </w:r>
    </w:p>
    <w:p>
      <w:pPr>
        <w:pStyle w:val="[Normal]"/>
        <w:spacing w:line="360" w:lineRule="auto"/>
        <w:ind w:firstLine="1134"/>
        <w:jc w:val="both"/>
        <w:rPr>
          <w:b/>
          <w:u w:val="single"/>
          <w:lang w:val="es-AR" w:eastAsia="es-AR" w:bidi="es-AR"/>
        </w:rPr>
      </w:pPr>
      <w:r>
        <w:rPr>
          <w:b/>
          <w:u w:val="single"/>
          <w:lang w:val="es-AR" w:eastAsia="es-AR" w:bidi="es-AR"/>
        </w:rPr>
        <w:t xml:space="preserve">Agravios citada en garantía:</w:t>
      </w:r>
    </w:p>
    <w:p>
      <w:pPr>
        <w:pStyle w:val="[Normal]"/>
        <w:spacing w:line="360" w:lineRule="auto"/>
        <w:ind w:firstLine="1134"/>
        <w:jc w:val="both"/>
        <w:rPr>
          <w:lang w:val="es-AR" w:eastAsia="es-AR" w:bidi="es-AR"/>
        </w:rPr>
      </w:pPr>
      <w:r>
        <w:rPr>
          <w:lang w:val="es-AR" w:eastAsia="es-AR" w:bidi="es-AR"/>
        </w:rPr>
        <w:t xml:space="preserve">Centra su queja en que la sentencia desatiende la conducta negligente e imprudente del actor como causa eficiente del accidente.-</w:t>
      </w:r>
    </w:p>
    <w:p>
      <w:pPr>
        <w:pStyle w:val="[Normal]"/>
        <w:spacing w:line="360" w:lineRule="auto"/>
        <w:ind w:firstLine="1134"/>
        <w:jc w:val="both"/>
        <w:rPr>
          <w:lang w:val="es-AR" w:eastAsia="es-AR" w:bidi="es-AR"/>
        </w:rPr>
      </w:pPr>
      <w:r>
        <w:rPr>
          <w:lang w:val="es-AR" w:eastAsia="es-AR" w:bidi="es-AR"/>
        </w:rPr>
        <w:t xml:space="preserve">Considera que el a quo realizó una valoración parcial de la prueba otorgando preeminencia a la pericia mecánica y omitiendo considerar tanto los dichos del demandado al contestar demanda como las declaraciones testimoniales aportadas.-</w:t>
      </w:r>
    </w:p>
    <w:p>
      <w:pPr>
        <w:pStyle w:val="[Normal]"/>
        <w:spacing w:line="360" w:lineRule="auto"/>
        <w:ind w:firstLine="1134"/>
        <w:jc w:val="both"/>
        <w:rPr>
          <w:lang w:val="es-AR" w:eastAsia="es-AR" w:bidi="es-AR"/>
        </w:rPr>
      </w:pPr>
      <w:r>
        <w:rPr>
          <w:lang w:val="es-AR" w:eastAsia="es-AR" w:bidi="es-AR"/>
        </w:rPr>
        <w:t xml:space="preserve">Relata que quedó acreditado que el Sr. Gallo salió conduciendo su motocicleta directamente desde el interior de su establecimiento hacia la vía pública sin adoptar los recaudos necesarios para incorporarse de manera segura al tránsito, infringiendo normas básicas de circulación.-</w:t>
      </w:r>
    </w:p>
    <w:p>
      <w:pPr>
        <w:pStyle w:val="[Normal]"/>
        <w:spacing w:line="360" w:lineRule="auto"/>
        <w:ind w:firstLine="1134"/>
        <w:jc w:val="both"/>
        <w:rPr>
          <w:lang w:val="es-AR" w:eastAsia="es-AR" w:bidi="es-AR"/>
        </w:rPr>
      </w:pPr>
      <w:r>
        <w:rPr>
          <w:lang w:val="es-AR" w:eastAsia="es-AR" w:bidi="es-AR"/>
        </w:rPr>
        <w:t xml:space="preserve">Resalta que dicha conducta del actor interrumpe el nexo causal eximiendo de responsabilidad a su mandante. Subsidiariamente, solicita que, como mínimo, se valore la concurrencia de culpas, en atención a que la actuación del damnificado tuvo una incidencia determinante en la producción del hecho.-</w:t>
      </w:r>
    </w:p>
    <w:p>
      <w:pPr>
        <w:pStyle w:val="[Normal]"/>
        <w:spacing w:line="360" w:lineRule="auto"/>
        <w:ind w:firstLine="1134"/>
        <w:jc w:val="both"/>
        <w:rPr>
          <w:lang w:val="es-AR" w:eastAsia="es-AR" w:bidi="es-AR"/>
        </w:rPr>
      </w:pPr>
      <w:r>
        <w:rPr>
          <w:lang w:val="es-AR" w:eastAsia="es-AR" w:bidi="es-AR"/>
        </w:rPr>
        <w:t xml:space="preserve">Se disgusta de la suma reconocida por incapacidad sobreviniente, por considerarla excesiva, irrazonable y desligada de las constancias probatorias de la causa. </w:t>
      </w:r>
    </w:p>
    <w:p>
      <w:pPr>
        <w:pStyle w:val="[Normal]"/>
        <w:spacing w:line="360" w:lineRule="auto"/>
        <w:ind w:firstLine="1134"/>
        <w:jc w:val="both"/>
        <w:rPr>
          <w:lang w:val="es-AR" w:eastAsia="es-AR" w:bidi="es-AR"/>
        </w:rPr>
      </w:pPr>
      <w:r>
        <w:rPr>
          <w:lang w:val="es-AR" w:eastAsia="es-AR" w:bidi="es-AR"/>
        </w:rPr>
        <w:t xml:space="preserve">Indica que la prueba aportada demuestra que el actor ha continuado desarrollando su actividad laboral sin padecer una disminución significativa en sus ingresos, por lo que la indemnización fijada configura un enriquecimiento indebido al no guardar relación con su verdadera afectación económica y funcional. </w:t>
      </w:r>
    </w:p>
    <w:p>
      <w:pPr>
        <w:pStyle w:val="[Normal]"/>
        <w:spacing w:line="360" w:lineRule="auto"/>
        <w:ind w:firstLine="1134"/>
        <w:jc w:val="both"/>
        <w:rPr>
          <w:lang w:val="es-AR" w:eastAsia="es-AR" w:bidi="es-AR"/>
        </w:rPr>
      </w:pPr>
      <w:r>
        <w:rPr>
          <w:lang w:val="es-AR" w:eastAsia="es-AR" w:bidi="es-AR"/>
        </w:rPr>
        <w:t xml:space="preserve">Señala que la sentencia prescinde del principio de razonabilidad que debe regir la cuantificación del daño, el cual exige una reparación justa y equitativa, evitando montos que excedan la magnitud real de las lesiones.</w:t>
      </w:r>
    </w:p>
    <w:p>
      <w:pPr>
        <w:pStyle w:val="[Normal]"/>
        <w:spacing w:line="360" w:lineRule="auto"/>
        <w:ind w:firstLine="1134"/>
        <w:jc w:val="both"/>
        <w:rPr>
          <w:lang w:val="es-AR" w:eastAsia="es-AR" w:bidi="es-AR"/>
        </w:rPr>
      </w:pPr>
      <w:r>
        <w:rPr>
          <w:lang w:val="es-AR" w:eastAsia="es-AR" w:bidi="es-AR"/>
        </w:rPr>
        <w:t xml:space="preserve">Solicita se rechace la sentencia de primera instancia con costas a la actora.-</w:t>
      </w:r>
    </w:p>
    <w:p>
      <w:pPr>
        <w:pStyle w:val="[Normal]"/>
        <w:spacing w:line="360" w:lineRule="auto"/>
        <w:ind w:firstLine="1134"/>
        <w:jc w:val="both"/>
        <w:rPr>
          <w:lang w:val="es-AR" w:eastAsia="es-AR" w:bidi="es-AR"/>
        </w:rPr>
      </w:pPr>
      <w:r>
        <w:rPr>
          <w:lang w:val="es-AR" w:eastAsia="es-AR" w:bidi="es-AR"/>
        </w:rPr>
        <w:t xml:space="preserve">Al evacuar los traslados oportunamente conferidos, tanto las partes proceden a refutar los argumentos esgrimidos por su contraria. Asimismo, el apoderado de la citada en garantía solicita se declare la deserción del recurso interpuesto por la actora, por considerar que no satisface las exigencias previstas en el Código ritual.-</w:t>
      </w:r>
    </w:p>
    <w:p>
      <w:pPr>
        <w:pStyle w:val="[Normal]"/>
        <w:spacing w:line="360" w:lineRule="auto"/>
        <w:ind w:firstLine="1134"/>
        <w:jc w:val="both"/>
        <w:rPr>
          <w:lang w:val="es-AR" w:eastAsia="es-AR" w:bidi="es-AR"/>
        </w:rPr>
      </w:pPr>
      <w:r>
        <w:rPr>
          <w:lang w:val="es-AR" w:eastAsia="es-AR" w:bidi="es-AR"/>
        </w:rPr>
        <w:t xml:space="preserve">Liminarmente, </w:t>
      </w:r>
      <w:r>
        <w:rPr>
          <w:color w:val="000000"/>
          <w:lang w:val="es-AR" w:eastAsia="es-AR" w:bidi="es-AR"/>
        </w:rPr>
        <w:t xml:space="preserve">en relación a la cuestión introducida expresamente por la citada en garantía en su responde relativa al incumplimiento de los recaudos establecidos por el art. 260 del CPCC</w:t>
      </w:r>
      <w:r>
        <w:rPr>
          <w:lang w:val="es-AR" w:eastAsia="es-AR" w:bidi="es-AR"/>
        </w:rPr>
        <w:t xml:space="preserve">, cabe señalar que de la lectura del memorial arrimado por la actora se advierte una crítica del fallo apelado que logra superar ampliamente las exigencias técnicas previstas por el ritual en la materia, por lo que abastece el tratamiento del remedio recursivo.-</w:t>
      </w:r>
    </w:p>
    <w:p>
      <w:pPr>
        <w:pStyle w:val="[Normal]"/>
        <w:spacing w:line="360" w:lineRule="auto"/>
        <w:ind w:firstLine="1134"/>
        <w:jc w:val="both"/>
        <w:rPr>
          <w:color w:val="000000"/>
          <w:lang w:val="es-AR" w:eastAsia="es-AR" w:bidi="es-AR"/>
        </w:rPr>
      </w:pPr>
      <w:r>
        <w:rPr>
          <w:lang w:val="es-AR" w:eastAsia="es-AR" w:bidi="es-AR"/>
        </w:rPr>
        <w:t xml:space="preserve">Sentado ello y entrando a resolver las cuestiones traídas en revisión, </w:t>
      </w:r>
      <w:r>
        <w:rPr>
          <w:color w:val="000000"/>
          <w:lang w:val="es-AR" w:eastAsia="es-AR" w:bidi="es-AR"/>
        </w:rPr>
        <w:t xml:space="preserve">de la plataforma fáctica surge acreditado que el siniestro se produjo el día 21 de octubre de 2022 en el que Ariel Humberto Gallo se disponía a salir de su establecimiento situado en calle Santiago del Estero 1143 a bordo de su motocicleta marca Zanella modelo ZR150 siendo impactado por Manuel Santiago Gutierrez a bordo de otra motocicleta marca Honda modelo Tornado, en la que circulaba en sentido contrario al de la calle en cuestión.-</w:t>
      </w:r>
    </w:p>
    <w:p>
      <w:pPr>
        <w:pStyle w:val="[Normal]"/>
        <w:spacing w:line="360" w:lineRule="auto"/>
        <w:ind w:firstLine="1134"/>
        <w:jc w:val="both"/>
        <w:rPr>
          <w:lang w:val="es-AR" w:eastAsia="es-AR" w:bidi="es-AR"/>
        </w:rPr>
      </w:pPr>
      <w:r>
        <w:rPr>
          <w:lang w:val="es-AR" w:eastAsia="es-AR" w:bidi="es-AR"/>
        </w:rPr>
        <w:t xml:space="preserve">Dicho ello, he de principiar por la relativa a la ruptura del nexo causal, puesta en crisis por el apoderado de la citada en garantía, dado que un resultado favorable a ello, tornaría abstracta las restantes cuestiones.-</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Aunque el encuadre jurídico</w:t>
      </w:r>
      <w:r>
        <w:rPr>
          <w:b/>
          <w:lang w:val="es-AR" w:eastAsia="es-AR" w:bidi="es-AR"/>
        </w:rPr>
        <w:t xml:space="preserve"> </w:t>
      </w:r>
      <w:r>
        <w:rPr>
          <w:lang w:val="es-AR" w:eastAsia="es-AR" w:bidi="es-AR"/>
        </w:rPr>
        <w:t xml:space="preserve">efectuado en la sentencia apelada no fue motivo de agravios, es pertinente recordar a título introductorio que un vehículo en movimiento es una cosa riesgosa, por lo que el factor de atribución de la responsabilidad es objetivo y el responsable sólo se libera demostrando la causa ajena (conf. arts. 1.722, 1.757 y 1.758, 1.769 y concds. del CyCC). De modo que la carga de la prueba del factor de atribución, del daño y de la relación de causalidad recae sobre quien la alega, en este caso la parte actora; mientras que la carga de probar el eximente de responsabilidad o causa ajena pesa sobre quien la invoca, en este caso, a la citada en garantía (conf. arts. 1.734, 1.736 CCyC).-</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Al respecto se ha dicho jurisprudencialmente </w:t>
      </w:r>
      <w:r>
        <w:rPr>
          <w:i/>
          <w:lang w:val="es-AR" w:eastAsia="es-AR" w:bidi="es-AR"/>
        </w:rPr>
        <w:t xml:space="preserve">"El dueño o guardián de una cosa viciosa o generadora de riesgos, para eximirse de responsabilidad debe demostrar la ruptura del nexo causal entre el hecho y el daño, y esto conlleva una modificación a la carga de la prueba, ya que es el demandado quien debe probar que la conducta de la víctima o del tercero por quien no responde, es la causa del hecho"</w:t>
      </w:r>
      <w:r>
        <w:rPr>
          <w:lang w:val="es-AR" w:eastAsia="es-AR" w:bidi="es-AR"/>
        </w:rPr>
        <w:t xml:space="preserve"> (CC0000 NE 11541 40 (S) S 04/06/2019 JUBA B5066435).-</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En tal línea de ideas, correspondía a los accionados acreditar las eximentes, esto es, el hecho de la víctima o de un tercero por quien no debieran responder, y debo adelantar que ello no ha ocurrido.-</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 Las motos son por su definición elementos intrínsecamente peligrosos y riesgosos para sus ocupantes y terceros como los automóviles, debiendo quien los conducen, en este caso ambas partes, circular con cuidado y prevención, conservando en todo momento el dominio efectivo del vehículo, teniendo en cuenta los riesgos propios de la circulación y demás circunstancias del tránsito.-</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De las probanzas obrantes en autos surge la pericia mecánica no fue impugnada por ninguna de las partes y el pedido de explicaciones de la actora en fecha 23-10-2024 fue correctamente respondido por el experto, quien ratificó todos sus dichos.-</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rFonts w:ascii="Times New Roman" w:hAnsi="Times New Roman" w:eastAsia="Times New Roman" w:cs="Times New Roman"/>
          <w:sz w:val="26"/>
          <w:lang w:val="es-AR" w:eastAsia="es-AR" w:bidi="es-AR"/>
        </w:rPr>
      </w:pPr>
      <w:r>
        <w:rPr>
          <w:lang w:val="es-AR" w:eastAsia="es-AR" w:bidi="es-AR"/>
        </w:rPr>
        <w:t xml:space="preserve">Sin perjuicio de ello, dado que la pericia mecánica no aporta mayores datos para dilucidar la cuestión debo remitirme a la prueba testimonial aportada tanto en sede penal como en civil.-</w:t>
      </w:r>
    </w:p>
    <w:p>
      <w:pPr>
        <w:pStyle w:val="[Normal]"/>
        <w:spacing w:line="360" w:lineRule="auto"/>
        <w:ind w:firstLine="1134"/>
        <w:jc w:val="both"/>
        <w:rPr>
          <w:b/>
          <w:lang w:val="es-AR" w:eastAsia="es-AR" w:bidi="es-AR"/>
        </w:rPr>
      </w:pPr>
      <w:r>
        <w:rPr>
          <w:lang w:val="es-AR" w:eastAsia="es-AR" w:bidi="es-AR"/>
        </w:rPr>
        <w:t xml:space="preserve">La única probanza ofrecida por el demandado a efectos de acreditar su versión ensayada en la que intenta endilgarle responsabilidad al Sr. Gallo para demostrar la ruptura del nexo causal, surge del testimonio de Angel Raúl Stamaiz quién afirma que el actor salió con su moto desde el portón del lavadero hacia la calle ubicándose a 45° grados antes de comenzar la marcha, lo que a su parecer viola las normas de tránsito y demuestra un accionar imprudente.-</w:t>
      </w:r>
    </w:p>
    <w:p>
      <w:pPr>
        <w:pStyle w:val="[Normal]"/>
        <w:spacing w:line="360" w:lineRule="auto"/>
        <w:ind w:firstLine="1134"/>
        <w:jc w:val="both"/>
        <w:rPr>
          <w:lang w:val="es-AR" w:eastAsia="es-AR" w:bidi="es-AR"/>
        </w:rPr>
      </w:pPr>
      <w:r>
        <w:rPr>
          <w:lang w:val="es-AR" w:eastAsia="es-AR" w:bidi="es-AR"/>
        </w:rPr>
        <w:t xml:space="preserve">Sin embargo no resulta del accionar del actor la confusa maniobra que el apoderado de la citada en garantía pretende atribuirle. En efecto, tratándose el comercio de Gallo de un lavadero, la entrada y salida de vehículos del lugar constituye una circunstancia habitual y previsible.-</w:t>
      </w:r>
    </w:p>
    <w:p>
      <w:pPr>
        <w:pStyle w:val="[Normal]"/>
        <w:spacing w:line="360" w:lineRule="auto"/>
        <w:ind w:firstLine="1134"/>
        <w:jc w:val="both"/>
        <w:rPr>
          <w:lang w:val="es-AR" w:eastAsia="es-AR" w:bidi="es-AR"/>
        </w:rPr>
      </w:pPr>
      <w:r>
        <w:rPr>
          <w:lang w:val="es-AR" w:eastAsia="es-AR" w:bidi="es-AR"/>
        </w:rPr>
        <w:t xml:space="preserve">Asimismo, dado que la circulación vehicular por esa calle proviene principalmente desde el sector de la ruta, bastaba al actor con verificar ese sentido para asegurarse de que el arranque de su motocicleta no generara riesgo alguno.-</w:t>
      </w:r>
    </w:p>
    <w:p>
      <w:pPr>
        <w:pStyle w:val="[Normal]"/>
        <w:spacing w:line="360" w:lineRule="auto"/>
        <w:ind w:firstLine="1134"/>
        <w:jc w:val="both"/>
        <w:rPr>
          <w:lang w:val="es-AR" w:eastAsia="es-AR" w:bidi="es-AR"/>
        </w:rPr>
      </w:pPr>
      <w:r>
        <w:rPr>
          <w:lang w:val="es-AR" w:eastAsia="es-AR" w:bidi="es-AR"/>
        </w:rPr>
        <w:t xml:space="preserve"> Corresponde señalar que el demandado, además de circular en sentido contrario al de la marcha, trasladaba a un acompañante en la motocicleta. Tal circunstancia por su propia naturaleza incrementa la complejidad de la conducción y restringe la maniobrabilidad del vehículo (Art 375 CPCC). Todo ello, pone en evidencia el negligente e imprudente accionar del señor Gutierrez.-</w:t>
      </w:r>
    </w:p>
    <w:p>
      <w:pPr>
        <w:pStyle w:val="[Normal]"/>
        <w:spacing w:line="360" w:lineRule="auto"/>
        <w:ind w:firstLine="1134"/>
        <w:jc w:val="both"/>
        <w:rPr>
          <w:b/>
          <w:lang w:val="es-AR" w:eastAsia="es-AR" w:bidi="es-AR"/>
        </w:rPr>
      </w:pPr>
      <w:r>
        <w:rPr>
          <w:lang w:val="es-AR" w:eastAsia="es-AR" w:bidi="es-AR"/>
        </w:rPr>
        <w:t xml:space="preserve">Consecuentemente, no habiendo la citada en garantía demostrado la ruptura de nexo causal, corresponde confirmar la responsabilidad total del demandado en el acaecimiento del hecho dañoso.- </w:t>
      </w:r>
    </w:p>
    <w:p>
      <w:pPr>
        <w:pStyle w:val="[Normal]"/>
        <w:spacing w:line="360" w:lineRule="auto"/>
        <w:ind w:firstLine="1134"/>
        <w:jc w:val="both"/>
        <w:rPr>
          <w:rFonts w:ascii="Times New Roman" w:hAnsi="Times New Roman" w:eastAsia="Times New Roman" w:cs="Times New Roman"/>
          <w:b/>
          <w:sz w:val="26"/>
          <w:lang w:val="es-AR" w:eastAsia="es-AR" w:bidi="es-AR"/>
        </w:rPr>
      </w:pPr>
      <w:r>
        <w:rPr>
          <w:lang w:val="es-AR" w:eastAsia="es-AR" w:bidi="es-AR"/>
        </w:rPr>
        <w:t xml:space="preserve">Dilucidada así la cuestión sobre la responsabilidad, corresponde adentrarme en los rubros cuestionados, su procedencia y cuantificación.-</w:t>
      </w:r>
    </w:p>
    <w:p>
      <w:pPr>
        <w:pStyle w:val="[Normal]"/>
        <w:spacing w:line="360" w:lineRule="auto"/>
        <w:ind w:firstLine="1134"/>
        <w:jc w:val="both"/>
        <w:rPr>
          <w:lang w:val="es-AR" w:eastAsia="es-AR" w:bidi="es-AR"/>
        </w:rPr>
      </w:pPr>
      <w:r>
        <w:rPr>
          <w:lang w:val="es-AR" w:eastAsia="es-AR" w:bidi="es-AR"/>
        </w:rPr>
        <w:t xml:space="preserve">Comenzaré entonces por la Incapacidad Parcial y Permanente, viene a esta Alzada apelado el porcentaje de incapacidad por la accionante y el monto considerado elevado por la accionada.-</w:t>
      </w:r>
    </w:p>
    <w:p>
      <w:pPr>
        <w:pStyle w:val="[Normal]"/>
        <w:spacing w:line="360" w:lineRule="auto"/>
        <w:ind w:firstLine="1134"/>
        <w:jc w:val="both"/>
        <w:rPr>
          <w:lang w:val="es-AR" w:eastAsia="es-AR" w:bidi="es-AR"/>
        </w:rPr>
      </w:pPr>
      <w:r>
        <w:rPr>
          <w:lang w:val="es-AR" w:eastAsia="es-AR" w:bidi="es-AR"/>
        </w:rPr>
        <w:t xml:space="preserve">Respecto de la queja del porcentaje de incapacidad traída por la actora teniendo a la vista la pericia médica presentada por el Dr. Juan Manuel Lolo, quien dice haber tenido en cuenta las constancias de interés médico legal tales como el protocolo quirúrgico, la tomografía con reconstrucción 3d de rodilla , el EMG con velocidad de conducción y el informe médico de parte, realiza examen pericial el 28/7/2024 con sus ampliaciones de fechas 1/9/2024 y 8/9/2024 y concluye que el total de incapacidad es del 20,1%.-</w:t>
      </w:r>
    </w:p>
    <w:p>
      <w:pPr>
        <w:pStyle w:val="[Normal]"/>
        <w:spacing w:line="360" w:lineRule="auto"/>
        <w:ind w:firstLine="1134"/>
        <w:jc w:val="both"/>
        <w:rPr>
          <w:lang w:val="es-AR" w:eastAsia="es-AR" w:bidi="es-AR"/>
        </w:rPr>
      </w:pPr>
      <w:r>
        <w:rPr>
          <w:lang w:val="es-AR" w:eastAsia="es-AR" w:bidi="es-AR"/>
        </w:rPr>
        <w:t xml:space="preserve">Si bien cierto es que sumando los porcentajes de incapacidad por fractura de rótula con desplazamiento y buena congruencia articular de 11%, la limitación funcional de rodilla 4% y la cervicobraqialgia del 6% da como resultado 21%, no voy a modificar este punto en tanto la misma experticia dice al final que el total </w:t>
      </w:r>
      <w:r>
        <w:rPr>
          <w:i/>
          <w:lang w:val="es-AR" w:eastAsia="es-AR" w:bidi="es-AR"/>
        </w:rPr>
        <w:t xml:space="preserve">"corresponde a la suma aritmética en miembro inferior, por ser dos afecciones del mismo segmento y calculo por capacidad restante en el caso de la columna cervical"</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No es suficiente la crítica que la parte efectúa sobre la solidez técnica del dictamen pericial y el porcentaje de incapacidad si no objeta -o menciona siquiera- ninguno de los parámetros utilizados por el experto: las lesiones, el baremo utilizado y la determinación de la incapacidad con ajuste a la escala propuesta por los autores del baremo (CC0102 MP 168807 RS 292 S 24/10/2023 JUBA B5088928).-</w:t>
      </w:r>
    </w:p>
    <w:p>
      <w:pPr>
        <w:pStyle w:val="[Normal]"/>
        <w:tabs>
          <w:tab w:val="left" w:pos="198"/>
          <w:tab w:val="clear" w:pos="15876"/>
        </w:tabs>
        <w:spacing w:line="360" w:lineRule="auto"/>
        <w:ind w:firstLine="1134"/>
        <w:jc w:val="both"/>
        <w:rPr>
          <w:lang w:val="es-AR" w:eastAsia="es-AR" w:bidi="es-AR"/>
        </w:rPr>
      </w:pPr>
      <w:r>
        <w:rPr>
          <w:lang w:val="es-AR" w:eastAsia="es-AR" w:bidi="es-AR"/>
        </w:rPr>
        <w:t xml:space="preserve">Al respecto se ha dicho jurisprudencialmente </w:t>
      </w:r>
      <w:r>
        <w:rPr>
          <w:i/>
          <w:lang w:val="es-AR" w:eastAsia="es-AR" w:bidi="es-AR"/>
        </w:rPr>
        <w:t xml:space="preserve">"Si bien al apreciar los dictámenes los jueces ejercen facultades propias, no teniendo las conclusiones de los expertos eficacia vinculantes, las reglas de la sana crítica indican que para apartarse del dictamen pericial suficientemente fundado, es necesario oponer argumentos científicos que pongan en duda su eficacia probatoria. Las meras opiniones en contrario, sin esgrimir razones científicas fundadas, son insuficientes para provocar el apartamiento de las conclusiones vertidas por quien es experto en un área de la ciencia o técnica"</w:t>
      </w:r>
      <w:r>
        <w:rPr>
          <w:lang w:val="es-AR" w:eastAsia="es-AR" w:bidi="es-AR"/>
        </w:rPr>
        <w:t xml:space="preserve"> (CC0202 LP 114971 211 S 23/08/2018 JUBA B5059961).-</w:t>
      </w:r>
    </w:p>
    <w:p>
      <w:pPr>
        <w:pStyle w:val="[Normal]"/>
        <w:tabs>
          <w:tab w:val="left" w:pos="198"/>
          <w:tab w:val="clear" w:pos="15876"/>
        </w:tabs>
        <w:spacing w:line="360" w:lineRule="auto"/>
        <w:ind w:firstLine="1134"/>
        <w:jc w:val="both"/>
        <w:rPr>
          <w:b/>
          <w:lang w:val="es-AR" w:eastAsia="es-AR" w:bidi="es-AR"/>
        </w:rPr>
      </w:pPr>
      <w:r>
        <w:rPr>
          <w:lang w:val="es-AR" w:eastAsia="es-AR" w:bidi="es-AR"/>
        </w:rPr>
        <w:t xml:space="preserve">Por lo tanto, no corresponde me aparte de la expertis médica, máxime aún cuando ha sido bien fundamentada y la ampliación pericial de fecha 8/9/2024 que arroja el porcentaje no ha sido impugnada por las partes  (art. 474 del CPCC y su doctrina).-</w:t>
      </w:r>
    </w:p>
    <w:p>
      <w:pPr>
        <w:pStyle w:val="[Normal]"/>
        <w:spacing w:line="360" w:lineRule="auto"/>
        <w:ind w:firstLine="1134"/>
        <w:jc w:val="both"/>
        <w:rPr>
          <w:lang w:val="es-AR" w:eastAsia="es-AR" w:bidi="es-AR"/>
        </w:rPr>
      </w:pPr>
      <w:r>
        <w:rPr>
          <w:lang w:val="es-AR" w:eastAsia="es-AR" w:bidi="es-AR"/>
        </w:rPr>
        <w:t xml:space="preserve"> Sobre el punto que se agravia el apoderado de la citada en garantía en tanto para su parte el monto fijado por el juez para el rubro no se corresponde con las pruebas rendidas en autos.-</w:t>
      </w:r>
    </w:p>
    <w:p>
      <w:pPr>
        <w:pStyle w:val="[Normal]"/>
        <w:spacing w:line="360" w:lineRule="auto"/>
        <w:ind w:firstLine="1134"/>
        <w:jc w:val="both"/>
        <w:rPr>
          <w:lang w:val="es-AR" w:eastAsia="es-AR" w:bidi="es-AR"/>
        </w:rPr>
      </w:pPr>
      <w:r>
        <w:rPr>
          <w:lang w:val="es-AR" w:eastAsia="es-AR" w:bidi="es-AR"/>
        </w:rPr>
        <w:t xml:space="preserve">La queja no pasa de una mera disconformidad subjetiva, ya que el  a quo ha valorado las variables en cuestión de acuerdo a la prueba de autos, y ello no es desvirtuado por el quejoso.-</w:t>
      </w:r>
    </w:p>
    <w:p>
      <w:pPr>
        <w:pStyle w:val="[Normal]"/>
        <w:spacing w:line="360" w:lineRule="auto"/>
        <w:ind w:firstLine="1134"/>
        <w:jc w:val="both"/>
        <w:rPr>
          <w:lang w:val="es-AR" w:eastAsia="es-AR" w:bidi="es-AR"/>
        </w:rPr>
      </w:pPr>
      <w:r>
        <w:rPr>
          <w:lang w:val="es-AR" w:eastAsia="es-AR" w:bidi="es-AR"/>
        </w:rPr>
        <w:t xml:space="preserve">En efecto, el sentenciante ha tomado en cuenta el ingreso probado del actor que al momento de la demanda (año 2023) era de $300.000 que actualizado mediante la calculadora de inflación acumulada (planilla acompañada en PDF conjunta con la sentencia) arroja la suma de $1.000.000, la edad al momento del hecho, como así la pericia con la incapacidad establecida por el perito todo lo cual parece no advertir el apelante sino que por el contrario y como dije anteriormente ensaya una queja meramente discursiva y general, pero en concreto no ataca nada.-</w:t>
      </w:r>
    </w:p>
    <w:p>
      <w:pPr>
        <w:pStyle w:val="[Normal]"/>
        <w:spacing w:line="360" w:lineRule="auto"/>
        <w:ind w:firstLine="1134"/>
        <w:jc w:val="both"/>
        <w:rPr>
          <w:lang w:val="es-AR" w:eastAsia="es-AR" w:bidi="es-AR"/>
        </w:rPr>
      </w:pPr>
      <w:r>
        <w:rPr>
          <w:lang w:val="es-AR" w:eastAsia="es-AR" w:bidi="es-AR"/>
        </w:rPr>
        <w:t xml:space="preserve">El juez en su sentencia ha motivado correctamente la recepción y valoración del rubro, por lo que no corresponde modificar lo allí decidido al respecto.-</w:t>
      </w:r>
    </w:p>
    <w:p>
      <w:pPr>
        <w:pStyle w:val="[Normal]"/>
        <w:spacing w:line="360" w:lineRule="auto"/>
        <w:ind w:firstLine="1134"/>
        <w:jc w:val="both"/>
        <w:rPr>
          <w:lang w:val="es-AR" w:eastAsia="es-AR" w:bidi="es-AR"/>
        </w:rPr>
      </w:pPr>
      <w:r>
        <w:rPr>
          <w:lang w:val="es-AR" w:eastAsia="es-AR" w:bidi="es-AR"/>
        </w:rPr>
        <w:t xml:space="preserve">En lo que refiere al rechazo de la Incapacidad Total y Transitoria, aspecto que está cuestionado por la actora, he de coincidir con los fundamentos expresados por el Juez de grado.-</w:t>
      </w:r>
    </w:p>
    <w:p>
      <w:pPr>
        <w:pStyle w:val="[Normal]"/>
        <w:spacing w:line="360" w:lineRule="auto"/>
        <w:ind w:firstLine="1134"/>
        <w:jc w:val="both"/>
        <w:rPr>
          <w:lang w:val="es-AR" w:eastAsia="es-AR" w:bidi="es-AR"/>
        </w:rPr>
      </w:pPr>
      <w:r>
        <w:rPr>
          <w:lang w:val="es-AR" w:eastAsia="es-AR" w:bidi="es-AR"/>
        </w:rPr>
        <w:t xml:space="preserve">A saber, el a quo sostuvo en sustento de la desestimación de la indemnización que </w:t>
      </w:r>
      <w:r>
        <w:rPr>
          <w:i/>
          <w:lang w:val="es-AR" w:eastAsia="es-AR" w:bidi="es-AR"/>
        </w:rPr>
        <w:t xml:space="preserve">"...no corresponde la procedencia del presente rubro, toda vez que el actor siguió percibiendo ingresos por su actividad y no logró acreditar por ningún medio de prueba idóneo que haya sufrido afectación alguna en sus ingresos durante el periodo de recuperación"</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En tal sentido, concuerdo en la circunstancia de que este rubro indemnizatorio, conforme a su naturaleza conceptual y jurídica, está indisolublemente unida a la pérdida de una posibilidad de ganancia durante el periodo de inactividad es decir, mientras dura la recuperación, lo que hubiese requerido de parte del actor la acreditación de las ganancias dejadas de percibir durante dicho periodo. En efecto, analizadas las probanzas obrantes en autos no surge prueba tendiente a acreditar dicho extremo.-</w:t>
      </w:r>
    </w:p>
    <w:p>
      <w:pPr>
        <w:pStyle w:val="[Normal]"/>
        <w:spacing w:line="360" w:lineRule="auto"/>
        <w:ind w:firstLine="1134"/>
        <w:jc w:val="both"/>
        <w:rPr>
          <w:lang w:val="es-AR" w:eastAsia="es-AR" w:bidi="es-AR"/>
        </w:rPr>
      </w:pPr>
      <w:r>
        <w:rPr>
          <w:lang w:val="es-AR" w:eastAsia="es-AR" w:bidi="es-AR"/>
        </w:rPr>
        <w:t xml:space="preserve">Además la indemnización por el daño patrimonial resultante de la incapacidad, comprende todos los períodos posteriores al desenlace dañoso, sin exclusión de los que corresponderían al llamado período terapéutico o de recuperación por lo tanto se debe accionar con suma cautela a fin de evitar una superposición indemnizatoria.-</w:t>
      </w:r>
    </w:p>
    <w:p>
      <w:pPr>
        <w:pStyle w:val="[Normal]"/>
        <w:spacing w:line="360" w:lineRule="auto"/>
        <w:ind w:firstLine="1134"/>
        <w:jc w:val="both"/>
        <w:rPr>
          <w:lang w:val="es-AR" w:eastAsia="es-AR" w:bidi="es-AR"/>
        </w:rPr>
      </w:pPr>
      <w:r>
        <w:rPr>
          <w:lang w:val="es-AR" w:eastAsia="es-AR" w:bidi="es-AR"/>
        </w:rPr>
        <w:t xml:space="preserve">Consecuentemente, ante la falta de acreditación de dicho extremo, la conclusión que se impone no puede ser otra que la confirmación del rechazo del rubro en cuestión.-</w:t>
      </w:r>
    </w:p>
    <w:p>
      <w:pPr>
        <w:pStyle w:val="[Normal]"/>
        <w:spacing w:line="360" w:lineRule="auto"/>
        <w:ind w:firstLine="1134"/>
        <w:jc w:val="both"/>
        <w:rPr>
          <w:i/>
          <w:lang w:val="es-AR" w:eastAsia="es-AR" w:bidi="es-AR"/>
        </w:rPr>
      </w:pPr>
      <w:r>
        <w:rPr>
          <w:lang w:val="es-AR" w:eastAsia="es-AR" w:bidi="es-AR"/>
        </w:rPr>
        <w:t xml:space="preserve">En relación a los gastos médicos, ortopédicos, farmacéuticos, de rehabilitación y de traslado</w:t>
      </w:r>
      <w:r>
        <w:rPr>
          <w:b/>
          <w:lang w:val="es-AR" w:eastAsia="es-AR" w:bidi="es-AR"/>
        </w:rPr>
        <w:t xml:space="preserve"> </w:t>
      </w:r>
      <w:r>
        <w:rPr>
          <w:lang w:val="es-AR" w:eastAsia="es-AR" w:bidi="es-AR"/>
        </w:rPr>
        <w:t xml:space="preserve">entendido exiguo el monto por la actora, se ha dicho "</w:t>
      </w:r>
      <w:r>
        <w:rPr>
          <w:i/>
          <w:lang w:val="es-AR" w:eastAsia="es-AR" w:bidi="es-AR"/>
        </w:rPr>
        <w:t xml:space="preserve">La presunción en este punto (gastos médicos y farmacéuticos), alcanza a los gastos menores y corrientes que pudo haber incurrido el damnificado en atenciones médicas, analgésicos, traslados desde y hasta el centro de atención etc., debiéndose probar las erogaciones mayores, de una cuantía que exceda lo que en el curso normal de una lesión puede surgir.  Va de suyo que la carga de esas acreditaciones se encuentra en cabeza de quien reclama la indemnización en virtud de lo dispuesto por el art. 375 CPCC" </w:t>
      </w:r>
      <w:r>
        <w:rPr>
          <w:lang w:val="es-AR" w:eastAsia="es-AR" w:bidi="es-AR"/>
        </w:rPr>
        <w:t xml:space="preserve">(CC0202 LP 132453 RSD 247/2022 S 27/10/2022 JUBA B5083336).-</w:t>
      </w:r>
    </w:p>
    <w:p>
      <w:pPr>
        <w:pStyle w:val="[Normal]"/>
        <w:spacing w:line="360" w:lineRule="auto"/>
        <w:ind w:firstLine="1134"/>
        <w:jc w:val="both"/>
        <w:rPr>
          <w:lang w:val="es-AR" w:eastAsia="es-AR" w:bidi="es-AR"/>
        </w:rPr>
      </w:pPr>
      <w:r>
        <w:rPr>
          <w:lang w:val="es-AR" w:eastAsia="es-AR" w:bidi="es-AR"/>
        </w:rPr>
        <w:t xml:space="preserve">Así, debiendo acudir a la facultad otorgada por el último párrafo del artículo 165 del ordenamiento ritual para cuantificar el daño, en tal circunstancia se debe actuar con suma prudencia a fin de no generar un enriquecimiento sin causa, ni premiar a quien se sale del esquema probatorio aplicable, teniendo en cuenta que como surge de la pericia médica los tratamientos recibidos y los traslados a la ciudad de Rosario donde fue operado, habré de aumenta el monto recibido por este rubro el que se fija desde aquí en la suma de $400.000.-</w:t>
      </w:r>
    </w:p>
    <w:p>
      <w:pPr>
        <w:pStyle w:val="[Normal]"/>
        <w:spacing w:line="360" w:lineRule="auto"/>
        <w:ind w:firstLine="1134"/>
        <w:jc w:val="both"/>
        <w:rPr>
          <w:lang w:val="es-AR" w:eastAsia="es-AR" w:bidi="es-AR"/>
        </w:rPr>
      </w:pPr>
      <w:r>
        <w:rPr>
          <w:lang w:val="es-AR" w:eastAsia="es-AR" w:bidi="es-AR"/>
        </w:rPr>
        <w:t xml:space="preserve">Por último sobre el daño moral, cuyo monto fuera considerado exiguo por Gallo, he de señalar que la Cámara de Apelación en lo Civil y Comercial de San Nicolás ha entendido que </w:t>
      </w:r>
      <w:r>
        <w:rPr>
          <w:i/>
          <w:lang w:val="es-AR" w:eastAsia="es-AR" w:bidi="es-AR"/>
        </w:rPr>
        <w:t xml:space="preserve">"La valoración del detrimento del daño moral no se encuentra sujeta a cánones estrictos, sino que corresponde a los jueces de la causa establecer en forma prudente el quantum indemnizatorio, tomando como base la gravitación de la lesión sufrida y el hecho generador de la responsabilidad, su función resarcitoria y el principio de reparación integral; tal valoración está sujeta a la apreciación prudencial de los jueces (art. 165 del C.P.C. y C.), ello en atención a que son obvias las dificultades que existen para mensurar en dinero un detrimento de naturaleza no patrimonial, razón por la que ha de tratarse de que atienda apropiadamente a la magnitud del menoscabo espiritual.  Siendo ello así, la reparación del daño moral debe ser determinada ponderando esencialmente la índole de los sufrimientos de quien los padece y no mediante una proporción que los vincule con los daños cuya indemnización se reclama"</w:t>
      </w:r>
      <w:r>
        <w:rPr>
          <w:lang w:val="es-AR" w:eastAsia="es-AR" w:bidi="es-AR"/>
        </w:rPr>
        <w:t xml:space="preserve"> (CC0100 SN 8512, Carátula: Rizzotto, Luis Alberto y Otro c/ Miño, Angel Amavelio y Otros s/ Daños y Perjuicios S 20/12/2011).-</w:t>
      </w:r>
    </w:p>
    <w:p>
      <w:pPr>
        <w:pStyle w:val="[Normal]"/>
        <w:spacing w:line="360" w:lineRule="auto"/>
        <w:ind w:firstLine="1134"/>
        <w:jc w:val="both"/>
        <w:rPr>
          <w:lang w:val="es-AR" w:eastAsia="es-AR" w:bidi="es-AR"/>
        </w:rPr>
      </w:pPr>
      <w:r>
        <w:rPr>
          <w:lang w:val="es-AR" w:eastAsia="es-AR" w:bidi="es-AR"/>
        </w:rPr>
        <w:t xml:space="preserve">Parto entonces de la base de que el daño moral, no patrimonial o extrapatrimonial (Art. 1741 CCCN) puede ser concebido como el comprensivo “de todos los detrimentos espirituales no incapacitantes del actor, el dolor, las aflicciones, los padecimientos, desconsuelo, desdicha, congoja, que provocan malestar grave y que alteran la estructura de los pensamientos, emociones y sentimientos” (arts. 1078 CC y 1741 CCCN; esta Sala, sentencia única recaída en causas nº 61.417, “Latu…” y nº 61.459, “Corradi…”, del 07/03/2017; causas nro. 62.485, “Zampatti” y nro. 62.567, “Gorozo”, sent. única del 22/5/18).  La víctima tiene una percepción negativa o distorsionada de la realidad (a raíz de la alteración de los pensamientos), que provoca repercusiones desfavorables en las emociones (ira, miedo, alegría, tristeza, asco, sorpresa) alterando los sentimientos (amor, fe, vergüenza, odio, culpa, envidia; arts. 1078 y 1741 CCCN)” (Galdós, Jorge Mario, “Hacia una nueva concepción del daño moral.  El aporte de las neurociencias” La Ley 28/9/2020, AR/DOC/2903/2020, criterio recogido por el Tribunal Colegiado de Responsabilidad Extrancontractual N° 1, Primera Secretaría, de Santa Fe, CUIJ 21-12154089-1, autos “Monzón…”, sent. del día 13 de noviembre de 2020).-</w:t>
      </w:r>
    </w:p>
    <w:p>
      <w:pPr>
        <w:pStyle w:val="[Normal]"/>
        <w:spacing w:line="360" w:lineRule="auto"/>
        <w:ind w:firstLine="1134"/>
        <w:jc w:val="both"/>
        <w:rPr>
          <w:lang w:val="es-AR" w:eastAsia="es-AR" w:bidi="es-AR"/>
        </w:rPr>
      </w:pPr>
      <w:r>
        <w:rPr>
          <w:lang w:val="es-AR" w:eastAsia="es-AR" w:bidi="es-AR"/>
        </w:rPr>
        <w:t xml:space="preserve">El resarcimiento del rubro y el ejercicio de las facultades emergentes del Art. 165 del CPCC quedan librados al prudente arbitrio judicial, y en el caso puntual este daño moral no requiere la producción de prueba directa, se lo tiene por configurado ante la razonable presunción de que el ilícito afectó el equilibrio espiritual de la persona.  Es que se  funda en el art. 1741 del CCyC y se tiene por acreditado con la sola comisión del acto antijurídico, puesta se trata de una prueba in re ipsa, esto es, que surge inmediatamente de los hechos mismos, sin que tenga que guardar proporción con los demás perjuicios admitidos.- </w:t>
      </w:r>
    </w:p>
    <w:p>
      <w:pPr>
        <w:pStyle w:val="[Normal]"/>
        <w:spacing w:line="360" w:lineRule="auto"/>
        <w:ind w:firstLine="1134"/>
        <w:jc w:val="both"/>
        <w:rPr>
          <w:lang w:val="es-AR" w:eastAsia="es-AR" w:bidi="es-AR"/>
        </w:rPr>
      </w:pPr>
      <w:r>
        <w:rPr>
          <w:lang w:val="es-AR" w:eastAsia="es-AR" w:bidi="es-AR"/>
        </w:rPr>
        <w:t xml:space="preserve">En la especie, teniendo en cuenta la naturaleza del daño, su extensión, el reposo que tuvo que guardar, las cirugías a las que fue sometido, su edad y la judicialización a la que tuvo que acudir en sede civil para obtener una respuesta jurisdiccional, el monto otorgado de $7.400.000 luce razonable por lo que propongo al Acuerdo su confirmación.-</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parcialmente al recurso de apelación interpuesto por la parte actora y en consecuencia, modificar el monto otorgado por gastos médicos, ortopédicos, farmacéuticos, de rehabilitación y de traslado en la suma de $400.000. Confirmar en todo lo demás la sentencia atacada.-</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demandada.-</w:t>
      </w:r>
    </w:p>
    <w:p>
      <w:pPr>
        <w:pStyle w:val="[Normal]"/>
        <w:spacing w:line="360" w:lineRule="auto"/>
        <w:ind w:firstLine="1134"/>
        <w:jc w:val="both"/>
        <w:rPr>
          <w:lang w:val="es-AR" w:eastAsia="es-AR" w:bidi="es-AR"/>
        </w:rPr>
      </w:pPr>
      <w:r>
        <w:rPr>
          <w:lang w:val="es-AR" w:eastAsia="es-AR" w:bidi="es-AR"/>
        </w:rPr>
        <w:t xml:space="preserve">Imponer las costas de Alzada en un 70% a cargo de la citada en garantía y un 30 % a cargo de la parte actora en atención a la forma en que se resolvió la cuestión (Art 68 y 71 CPCC).-</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liquidación firme en primera instancia (Art 31 ley 14967).-</w:t>
      </w:r>
    </w:p>
    <w:p>
      <w:pPr>
        <w:pStyle w:val="[Normal]"/>
        <w:spacing w:line="360" w:lineRule="auto"/>
        <w:ind w:firstLine="1134"/>
        <w:jc w:val="both"/>
        <w:rPr>
          <w:lang w:val="es-AR" w:eastAsia="es-AR" w:bidi="es-AR"/>
        </w:rPr>
      </w:pPr>
      <w:r>
        <w:rPr>
          <w:b/>
          <w:lang w:val="es-AR" w:eastAsia="es-AR" w:bidi="es-AR"/>
        </w:rPr>
        <w:t xml:space="preserve">ASI LO VOTO.-</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Hacer lugar parcialmente al recurso de apelación interpuesto por la parte actora y en consecuencia, modificar el monto otorgado por gastos médicos, ortopédicos, farmacéuticos, de rehabilitación y de traslado en la suma de $400.000. Confirmar en todo lo demás la sentencia atacada.-</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demandada.-</w:t>
      </w:r>
    </w:p>
    <w:p>
      <w:pPr>
        <w:pStyle w:val="[Normal]"/>
        <w:spacing w:line="360" w:lineRule="auto"/>
        <w:ind w:firstLine="1134"/>
        <w:jc w:val="both"/>
        <w:rPr>
          <w:lang w:val="es-AR" w:eastAsia="es-AR" w:bidi="es-AR"/>
        </w:rPr>
      </w:pPr>
      <w:r>
        <w:rPr>
          <w:lang w:val="es-AR" w:eastAsia="es-AR" w:bidi="es-AR"/>
        </w:rPr>
        <w:t xml:space="preserve">Imponer las costas de Alzada en un 70% a cargo de la citada en garantía y un 30 % a cargo de la parte actora en atención a la forma en que se resolvió la cuestión (Art 68 y 71 CPCC).-</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liquidación firme en primera instancia (Art 31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360" w:lineRule="auto"/>
        <w:ind w:firstLine="1134"/>
        <w:jc w:val="both"/>
        <w:rPr>
          <w:color w:val="000000"/>
          <w:lang w:val="es-AR" w:eastAsia="es-AR" w:bidi="es-AR"/>
        </w:rPr>
      </w:pPr>
    </w:p>
    <w:p>
      <w:pPr>
        <w:pStyle w:val="[Normal]"/>
        <w:spacing w:line="480" w:lineRule="auto"/>
        <w:ind w:firstLine="1134"/>
        <w:jc w:val="both"/>
        <w:rPr>
          <w:b/>
          <w:i/>
          <w:lang w:val="es-AR" w:eastAsia="es-AR" w:bidi="es-AR"/>
        </w:rPr>
      </w:pPr>
    </w:p>
    <w:p>
      <w:pPr>
        <w:pStyle w:val="[Normal]"/>
        <w:spacing w:line="480" w:lineRule="auto"/>
        <w:ind w:firstLine="1134"/>
        <w:jc w:val="both"/>
        <w:rPr>
          <w:b/>
          <w:i/>
          <w:lang w:val="es-AR" w:eastAsia="es-AR" w:bidi="es-AR"/>
        </w:rPr>
      </w:pPr>
      <w:r>
        <w:rPr>
          <w:b/>
          <w:i/>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20175046772@NOTIFICACIONES.SCBA.GOV.AR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23365239649@NOTIFICACIONES.SCBA.GOV.AR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20102409524@NOTIFICACIONES.SCBA.GOV.AR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18/12/2025 10:06:26 -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18/12/2025 10:31:47 -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18/12/2025 10:49:39 -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‰8'")è&amp;eu+IŠ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240702090006698511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18/12/2025 10:49:49 hs. bajo el número RS-187-2025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