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5768-25</w:t>
      </w:r>
      <w:r>
        <w:rPr>
          <w:lang w:val="es-AR" w:eastAsia="es-AR" w:bidi="es-AR"/>
        </w:rPr>
        <w:t xml:space="preserve"> caratulada </w:t>
      </w:r>
      <w:r>
        <w:rPr>
          <w:b/>
          <w:lang w:val="es-AR" w:eastAsia="es-AR" w:bidi="es-AR"/>
        </w:rPr>
        <w:t xml:space="preserve">"</w:t>
      </w:r>
      <w:r>
        <w:rPr>
          <w:b/>
          <w:color w:val="000000"/>
          <w:lang w:val="es-AR" w:eastAsia="es-AR" w:bidi="es-AR"/>
        </w:rPr>
        <w:t xml:space="preserve">ANDRADA NORMA PATRICIA C/ TRILLO CARLOS LEANDRO Y OTRO/A S/ DAÑOS Y PERJ. INCUMP. CONTRACTUAL (EXC. ESTADO)</w:t>
      </w:r>
      <w:r>
        <w:rPr>
          <w:b/>
          <w:lang w:val="es-AR" w:eastAsia="es-AR" w:bidi="es-AR"/>
        </w:rPr>
        <w:t xml:space="preserve">"</w:t>
      </w:r>
      <w:r>
        <w:rPr>
          <w:lang w:val="es-AR" w:eastAsia="es-AR" w:bidi="es-AR"/>
        </w:rPr>
        <w:t xml:space="preserve">, Expte. </w:t>
      </w:r>
      <w:r>
        <w:rPr>
          <w:color w:val="000000"/>
          <w:lang w:val="es-AR" w:eastAsia="es-AR" w:bidi="es-AR"/>
        </w:rPr>
        <w:t xml:space="preserve">N° 61.714 y su acumulada 5704-25 </w:t>
      </w:r>
      <w:r>
        <w:rPr>
          <w:b/>
          <w:color w:val="000000"/>
          <w:lang w:val="es-AR" w:eastAsia="es-AR" w:bidi="es-AR"/>
        </w:rPr>
        <w:t xml:space="preserve">"ANDRADA NORMA PATRICIA C/ CASTRO GABRIELA ALEJANDRA Y OTRO S/ DESALOJO ANTICIPADO"</w:t>
      </w:r>
      <w:r>
        <w:rPr>
          <w:color w:val="000000"/>
          <w:lang w:val="es-AR" w:eastAsia="es-AR" w:bidi="es-AR"/>
        </w:rPr>
        <w:t xml:space="preserve"> Expte. Nro. 66.377,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jc w:val="both"/>
        <w:rPr>
          <w:lang w:val="es-AR" w:eastAsia="es-AR" w:bidi="es-AR"/>
        </w:rPr>
      </w:pPr>
      <w:r>
        <w:rPr>
          <w:b/>
          <w:lang w:val="es-AR" w:eastAsia="es-AR" w:bidi="es-AR"/>
        </w:rPr>
        <w:t xml:space="preserve">	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1.- </w:t>
      </w:r>
      <w:r>
        <w:rPr>
          <w:b/>
          <w:lang w:val="es-AR" w:eastAsia="es-AR" w:bidi="es-AR"/>
        </w:rPr>
        <w:t xml:space="preserve">Expte. Nro. 61.714</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señor Juez de la anterior sede falló en la presente causa Expte. N° 61.714 haciendo lugar a la demanda de Daños y Perjuicios instaurada por Norma Patricia Andrada, condenando en consecuencia a Carlos Leandro Trillo y Gabriela Alejandra Castro a abonar  a  la  parte  actora, dentro de los diez días de notificada la presente, la  suma  de  Pesos Un Millon Cincuenta Y Ocho Mil Setecientos Cincuenta Y Ocho ($1.058.758),  con más sus intereses, calculados en la forma señalada en el Apart. V. Aplicó las costas a la parte demandada vencida. Difirió la regulación de honorarios de los profesionales y peritos; y en la acumulada Expte. N° 66.377 hizo lugar a la demanda de Desalojo instaurada por Norma Patricia Andrada, condenando en consecuencia a Carlos Leandro Trillo y Gabriela Alejandra Castro a entregar a la parte actora, dentro del término de diez días de quedar firme la presente el uso del inmueble ubicado en calle Arredondo N° 1248 de Merlo, Pcia. de Bs. As., con costas a la parte demandada vencida. Difirió la regulación de honorarios profesionales.</w:t>
      </w:r>
    </w:p>
    <w:p>
      <w:pPr>
        <w:pStyle w:val="[Normal]"/>
        <w:spacing w:line="360" w:lineRule="auto"/>
        <w:ind w:firstLine="1134"/>
        <w:jc w:val="both"/>
        <w:rPr>
          <w:lang w:val="es-AR" w:eastAsia="es-AR" w:bidi="es-AR"/>
        </w:rPr>
      </w:pPr>
      <w:r>
        <w:rPr>
          <w:lang w:val="es-AR" w:eastAsia="es-AR" w:bidi="es-AR"/>
        </w:rPr>
        <w:t xml:space="preserve">Dicho decisorio fue objeto del recurso de apelación por la parte demandada el 20-8-2025, recurso concedido libremente el 7-7-2025.  Elevados los autos el 4-8-2025, en fecha 12-8-2025 se ordena exprese agravios la parte demandada, efectuándolo el 20-8-2025. El día 5-9-2025 da respuesta a la vista conferida la Asesora de Incapaces, evacuando el traslado de agravios conferido el 29-9-2025. En fecha 2-10-2025 se tuvo por contestado el traslado que le fuera  conferido a la actora oportunamente,  y  encontrándose la causa en condiciones de ser fallada, se llamo autos para dictar sentencia.</w:t>
      </w:r>
    </w:p>
    <w:p>
      <w:pPr>
        <w:pStyle w:val="[Normal]"/>
        <w:spacing w:line="360" w:lineRule="auto"/>
        <w:ind w:firstLine="1134"/>
        <w:jc w:val="both"/>
        <w:rPr>
          <w:lang w:val="es-AR" w:eastAsia="es-AR" w:bidi="es-AR"/>
        </w:rPr>
      </w:pPr>
      <w:r>
        <w:rPr>
          <w:lang w:val="es-AR" w:eastAsia="es-AR" w:bidi="es-AR"/>
        </w:rPr>
        <w:t xml:space="preserve"> En sustento de su crítica recursiva, la parte demandada expresó los siguientes puntos fundamentales de agravio: 	</w:t>
        <w:br w:type="textWrapping"/>
      </w:r>
      <w:r>
        <w:rPr>
          <w:lang w:val="es-AR" w:eastAsia="es-AR" w:bidi="es-AR"/>
        </w:rPr>
        <w:t xml:space="preserve"> 	1) Indebida acumulación y tratamiento fragmentado. El apelante cuestiona que, pese a haberse dispuesto la acumulación por conexidad subjetiva y objetiva, el a quo valoró aisladamente cada expediente, trasladando sin contraste </w:t>
      </w:r>
      <w:r>
        <w:rPr>
          <w:i/>
          <w:lang w:val="es-AR" w:eastAsia="es-AR" w:bidi="es-AR"/>
        </w:rPr>
        <w:t xml:space="preserve">“hechos no controvertidos”</w:t>
      </w:r>
      <w:r>
        <w:rPr>
          <w:lang w:val="es-AR" w:eastAsia="es-AR" w:bidi="es-AR"/>
        </w:rPr>
        <w:t xml:space="preserve"> de uno a otro y prescindiendo de defensas y prueba ofrecida en el correlativo. Al respecto, denuncia quiebre de la finalidad de la acumulación (unidad fáctica y jurídica), riesgo de decisiones incompatibles y afectación concreta de la bilateralidad, congruencia y derecho de defensa. </w:t>
      </w:r>
    </w:p>
    <w:p>
      <w:pPr>
        <w:pStyle w:val="[Normal]"/>
        <w:spacing w:line="360" w:lineRule="auto"/>
        <w:ind w:firstLine="1134"/>
        <w:jc w:val="both"/>
        <w:rPr>
          <w:lang w:val="es-AR" w:eastAsia="es-AR" w:bidi="es-AR"/>
        </w:rPr>
      </w:pPr>
      <w:r>
        <w:rPr>
          <w:lang w:val="es-AR" w:eastAsia="es-AR" w:bidi="es-AR"/>
        </w:rPr>
        <w:t xml:space="preserve">2) Arbitrariedad en la valoración fáctica y jurídica. Al respecto, sostiene que el fallo parte de premisas erróneas e incongruentes con el instrumento de comodato, da por acreditados extremos no probados y desatiende prueba ofrecida sobre pagos, mejoras y legitimación activa. La crítica puntualiza motivación aparente y quiebre de las reglas de la sana crítica (art. 384 CPCCBA). </w:t>
      </w:r>
    </w:p>
    <w:p>
      <w:pPr>
        <w:pStyle w:val="[Normal]"/>
        <w:spacing w:line="360" w:lineRule="auto"/>
        <w:ind w:firstLine="1134"/>
        <w:jc w:val="both"/>
        <w:rPr>
          <w:lang w:val="es-AR" w:eastAsia="es-AR" w:bidi="es-AR"/>
        </w:rPr>
      </w:pPr>
      <w:r>
        <w:rPr>
          <w:lang w:val="es-AR" w:eastAsia="es-AR" w:bidi="es-AR"/>
        </w:rPr>
        <w:t xml:space="preserve">3) Falta de intervención oportuna de la Asesoría de Incapaces. El recurrente alega omisión de vista al Ministerio Público pese a la presencia de niños y posible incidencia habitacional, con menoscabo de la tutela judicial efectiva y del interés superior (Convención sobre los Derechos del Niño; Ley 26.061; arts. 706 y 707 CCyC). </w:t>
      </w:r>
    </w:p>
    <w:p>
      <w:pPr>
        <w:pStyle w:val="[Normal]"/>
        <w:spacing w:line="360" w:lineRule="auto"/>
        <w:ind w:firstLine="1134"/>
        <w:jc w:val="both"/>
        <w:rPr>
          <w:lang w:val="es-AR" w:eastAsia="es-AR" w:bidi="es-AR"/>
        </w:rPr>
      </w:pPr>
      <w:r>
        <w:rPr>
          <w:lang w:val="es-AR" w:eastAsia="es-AR" w:bidi="es-AR"/>
        </w:rPr>
        <w:t xml:space="preserve">A su turno, la parte actora contesta el traslado correspondiente a la expresión de agravios. En tal dirección, la accionante sostiene que la acumulación fue correctamente tramitada y que el juez valoró cada expediente según su estado procesal, sin contradicciones materiales ni afectación de la defensa. </w:t>
      </w:r>
    </w:p>
    <w:p>
      <w:pPr>
        <w:pStyle w:val="[Normal]"/>
        <w:spacing w:line="360" w:lineRule="auto"/>
        <w:ind w:firstLine="1134"/>
        <w:jc w:val="both"/>
        <w:rPr>
          <w:lang w:val="es-AR" w:eastAsia="es-AR" w:bidi="es-AR"/>
        </w:rPr>
      </w:pPr>
      <w:r>
        <w:rPr>
          <w:lang w:val="es-AR" w:eastAsia="es-AR" w:bidi="es-AR"/>
        </w:rPr>
        <w:t xml:space="preserve">En segundo término niega arbitrariedad, por cuanto entiende que la sentencia se funda en el comodato acompañado, su vencimiento y los incumplimientos acreditados o no eficazmente controvertidos. Al respecto, destaca que cualquier controversia probatoria quedó precluida por la conducta de la demandada y que no procede apertura de prueba en alzada (art. 255 CPCCBA). </w:t>
      </w:r>
    </w:p>
    <w:p>
      <w:pPr>
        <w:pStyle w:val="[Normal]"/>
        <w:spacing w:line="360" w:lineRule="auto"/>
        <w:ind w:firstLine="1134"/>
        <w:jc w:val="both"/>
        <w:rPr>
          <w:lang w:val="es-AR" w:eastAsia="es-AR" w:bidi="es-AR"/>
        </w:rPr>
      </w:pPr>
      <w:r>
        <w:rPr>
          <w:lang w:val="es-AR" w:eastAsia="es-AR" w:bidi="es-AR"/>
        </w:rPr>
        <w:t xml:space="preserve">En cuanto al Ministerio Público, afirma que la intervención en Cámara saneó cualquier defecto y que, además, se dispusieron oficios a áreas de acción social para evitar vulnerabilidad de los niños. </w:t>
      </w:r>
    </w:p>
    <w:p>
      <w:pPr>
        <w:pStyle w:val="[Normal]"/>
        <w:spacing w:line="360" w:lineRule="auto"/>
        <w:ind w:firstLine="1134"/>
        <w:jc w:val="both"/>
        <w:rPr>
          <w:lang w:val="es-AR" w:eastAsia="es-AR" w:bidi="es-AR"/>
        </w:rPr>
      </w:pPr>
      <w:r>
        <w:rPr>
          <w:lang w:val="es-AR" w:eastAsia="es-AR" w:bidi="es-AR"/>
        </w:rPr>
        <w:t xml:space="preserve">Entrando a resolver, advierto que el núcleo de la cuestión sometida a revisión se centra en determinar una variedad de aspectos decisorios. Primeramente, habrá de analizarse la juridicidad de la forma en que se implementó procesalmente la acumulación de procesos. En segundo término, habrá que determinar si el juez de grado incurrió en arbitrariedad en la valoración probatoria. Y por último, habré que ponderar si la falta de intervención temprana de la Asesora de Incapaces en el presente proceso ha afectado la validez del trámite procesal.</w:t>
      </w:r>
    </w:p>
    <w:p>
      <w:pPr>
        <w:pStyle w:val="[Normal]"/>
        <w:spacing w:line="360" w:lineRule="auto"/>
        <w:ind w:firstLine="1134"/>
        <w:jc w:val="both"/>
        <w:rPr>
          <w:lang w:val="es-AR" w:eastAsia="es-AR" w:bidi="es-AR"/>
        </w:rPr>
      </w:pPr>
      <w:r>
        <w:rPr>
          <w:lang w:val="es-AR" w:eastAsia="es-AR" w:bidi="es-AR"/>
        </w:rPr>
        <w:t xml:space="preserve">Estas temáticas de índole diversa se correlacionan sucesivamente con los agravios fundamentales que ha vertido la parte apelante, de modo que me serviré de tales críticas para articular -tanto metodológica como sustancialmente- el devenir del tratamiento recursivo.</w:t>
      </w:r>
    </w:p>
    <w:p>
      <w:pPr>
        <w:pStyle w:val="[Normal]"/>
        <w:spacing w:line="360" w:lineRule="auto"/>
        <w:ind w:firstLine="1134"/>
        <w:jc w:val="both"/>
        <w:rPr>
          <w:lang w:val="es-AR" w:eastAsia="es-AR" w:bidi="es-AR"/>
        </w:rPr>
      </w:pPr>
      <w:r>
        <w:rPr>
          <w:lang w:val="es-AR" w:eastAsia="es-AR" w:bidi="es-AR"/>
        </w:rPr>
        <w:t xml:space="preserve">I.- En primer término, entiendo que no corresponde acoger el agravio. La acumulación procesal tiene por finalidad evitar sentencias contradictorias y optimizar la economía procesal, pero no impone -como regla rígida- una única valoración probatoria indiferenciada ni la redacción de un solo pronunciamiento materialmente unificado. </w:t>
      </w:r>
    </w:p>
    <w:p>
      <w:pPr>
        <w:pStyle w:val="[Normal]"/>
        <w:spacing w:line="360" w:lineRule="auto"/>
        <w:ind w:firstLine="1134"/>
        <w:jc w:val="both"/>
        <w:rPr>
          <w:lang w:val="es-AR" w:eastAsia="es-AR" w:bidi="es-AR"/>
        </w:rPr>
      </w:pPr>
      <w:r>
        <w:rPr>
          <w:lang w:val="es-AR" w:eastAsia="es-AR" w:bidi="es-AR"/>
        </w:rPr>
        <w:t xml:space="preserve">El juez conserva la potestad de dirección del proceso (arts. 34 inc. 5 y 36 CPCCBA) para organizar el debate, delimitar los hechos conducentes de cada expediente y dictar decisiones coherentes aun cuando, por razones de estado procesal, carga de la prueba o plataforma fáctica, subsistan “micro-diferencias” entre las causas acumuladas.</w:t>
      </w:r>
    </w:p>
    <w:p>
      <w:pPr>
        <w:pStyle w:val="[Normal]"/>
        <w:spacing w:line="360" w:lineRule="auto"/>
        <w:ind w:firstLine="1134"/>
        <w:jc w:val="both"/>
        <w:rPr>
          <w:lang w:val="es-AR" w:eastAsia="es-AR" w:bidi="es-AR"/>
        </w:rPr>
      </w:pPr>
      <w:r>
        <w:rPr>
          <w:lang w:val="es-AR" w:eastAsia="es-AR" w:bidi="es-AR"/>
        </w:rPr>
        <w:t xml:space="preserve">En el caso, el razonamiento por </w:t>
      </w:r>
      <w:r>
        <w:rPr>
          <w:i/>
          <w:lang w:val="es-AR" w:eastAsia="es-AR" w:bidi="es-AR"/>
        </w:rPr>
        <w:t xml:space="preserve">“módulos”</w:t>
      </w:r>
      <w:r>
        <w:rPr>
          <w:lang w:val="es-AR" w:eastAsia="es-AR" w:bidi="es-AR"/>
        </w:rPr>
        <w:t xml:space="preserve"> no supuso desconocer la acumulación, sino atender a que cada expediente ingresó a la sentencia con un distinto grado de contradictorio útil. Si en uno de ellos la parte dejó precluir etapas clave (v.gr., resistencias genéricas, ausencia de prueba conducente o consentimiento de la tramitación como cuestión de puro derecho), mientras que en el otro mantuvo debate sobre otros extremos, el juez podía -y debía- ponderarlo sin que ello importe escindir artificialmente la unidad lógica del fallo. La acumulación no borra las preclusiones propias de cada expediente ni homologa automáticamente sus plataformas fácticas.</w:t>
      </w:r>
    </w:p>
    <w:p>
      <w:pPr>
        <w:pStyle w:val="[Normal]"/>
        <w:spacing w:line="360" w:lineRule="auto"/>
        <w:ind w:firstLine="1134"/>
        <w:jc w:val="both"/>
        <w:rPr>
          <w:lang w:val="es-AR" w:eastAsia="es-AR" w:bidi="es-AR"/>
        </w:rPr>
      </w:pPr>
      <w:r>
        <w:rPr>
          <w:lang w:val="es-AR" w:eastAsia="es-AR" w:bidi="es-AR"/>
        </w:rPr>
        <w:t xml:space="preserve">Tampoco hay menoscabo del derecho de defensa. La garantía se satisface cuando el Tribunal: 1) identifica con claridad qué hechos considera conducentes en cada expediente; 2) explica por qué traslada (o no) ciertas conclusiones de una causa a la otra; y 3) fundamenta la decisión con arreglo a las reglas de la sana crítica (arts. 163 inc. 6, 375 y 384 CPCCBA). Si el pronunciamiento expone que ciertas premisas fácticas se tuvieron por firmes en un expediente por la conducta procesal de las partes, y que otras exigían -o no- prueba específica en el correlativo, no hay fragmentación ilegítima sino congruencia diferenciada.</w:t>
      </w:r>
    </w:p>
    <w:p>
      <w:pPr>
        <w:pStyle w:val="[Normal]"/>
        <w:spacing w:line="360" w:lineRule="auto"/>
        <w:ind w:firstLine="1134"/>
        <w:jc w:val="both"/>
        <w:rPr>
          <w:lang w:val="es-AR" w:eastAsia="es-AR" w:bidi="es-AR"/>
        </w:rPr>
      </w:pPr>
      <w:r>
        <w:rPr>
          <w:lang w:val="es-AR" w:eastAsia="es-AR" w:bidi="es-AR"/>
        </w:rPr>
        <w:t xml:space="preserve">En definitiva, el agravio confunde acumulación con identidad plena de debate. Y en este sentido, la unidad decisoria no exige reproducir mecánicamente defensas o pruebas improcedentes de un expediente al otro, ni neutraliza los efectos de la rebeldía, la deserción o la falta de impugnación oportuna que se hayan verificado en alguno de ellos. Pretender lo contrario equivale a utilizar la acumulación como atajo para reabrir etapas precluidas, en desmedro de la igualdad de las partes y de la estabilidad de los actos procesales.</w:t>
      </w:r>
    </w:p>
    <w:p>
      <w:pPr>
        <w:pStyle w:val="[Normal]"/>
        <w:spacing w:line="360" w:lineRule="auto"/>
        <w:ind w:firstLine="1134"/>
        <w:jc w:val="both"/>
        <w:rPr>
          <w:lang w:val="es-AR" w:eastAsia="es-AR" w:bidi="es-AR"/>
        </w:rPr>
      </w:pPr>
      <w:r>
        <w:rPr>
          <w:lang w:val="es-AR" w:eastAsia="es-AR" w:bidi="es-AR"/>
        </w:rPr>
        <w:t xml:space="preserve">Aun desde la óptica de la coherencia horizontal, el estándar de revisión no demanda una sentencia única sino ausencia de contradicción material. Si el juez explica que los núcleos comunes (origen y título de la ocupación, alcance del comodato, eventuales pagos o mejoras, legitimación) fueron valorados con arreglo a los insumos procesales realmente disponibles en cada expediente, y que las conclusiones de uno no desmienten las del otro, la finalidad de la acumulación queda cumplida. La existencia de motivación específica y el enlace argumental entre ambos tramos son suficientes para descartar lesión a la defensa.</w:t>
      </w:r>
    </w:p>
    <w:p>
      <w:pPr>
        <w:pStyle w:val="[Normal]"/>
        <w:spacing w:line="360" w:lineRule="auto"/>
        <w:ind w:firstLine="1134"/>
        <w:jc w:val="both"/>
        <w:rPr>
          <w:lang w:val="es-AR" w:eastAsia="es-AR" w:bidi="es-AR"/>
        </w:rPr>
      </w:pPr>
      <w:r>
        <w:rPr>
          <w:lang w:val="es-AR" w:eastAsia="es-AR" w:bidi="es-AR"/>
        </w:rPr>
        <w:t xml:space="preserve">Finalmente, el recurrente no demuestra perjuicio concreto. No precisa qué prueba idónea fue indebidamente desatendida por el tratamiento “separado”, qué cuestión común habría recibido respuestas incompatibles, ni cómo una evaluación “integrada” habría modificado, necesariamente, el resultado. Sin acreditación de un agravio real y actual -más allá del desacuerdo con la solución-, la queja deviene meramente conjetural. En tales condiciones, el agravio debe rechazarse: la acumulación fue respetada en su finalidad racional, el iter decisorio se mantuvo dentro de los márgenes de congruencia y sana crítica, y no se verifica afectación del derecho de defensa.</w:t>
      </w:r>
    </w:p>
    <w:p>
      <w:pPr>
        <w:pStyle w:val="[Normal]"/>
        <w:spacing w:line="360" w:lineRule="auto"/>
        <w:ind w:firstLine="1134"/>
        <w:jc w:val="both"/>
        <w:rPr>
          <w:lang w:val="es-AR" w:eastAsia="es-AR" w:bidi="es-AR"/>
        </w:rPr>
      </w:pPr>
      <w:r>
        <w:rPr>
          <w:lang w:val="es-AR" w:eastAsia="es-AR" w:bidi="es-AR"/>
        </w:rPr>
        <w:t xml:space="preserve">II. En relación al segundo agravio relativo a la arbitrariedad en la valoración fáctica y jurídica, entiendo que no corresponde admitirlo. La premisa de la apelante -según la cual el a quo habría </w:t>
      </w:r>
      <w:r>
        <w:rPr>
          <w:i/>
          <w:lang w:val="es-AR" w:eastAsia="es-AR" w:bidi="es-AR"/>
        </w:rPr>
        <w:t xml:space="preserve">“recalificado”</w:t>
      </w:r>
      <w:r>
        <w:rPr>
          <w:lang w:val="es-AR" w:eastAsia="es-AR" w:bidi="es-AR"/>
        </w:rPr>
        <w:t xml:space="preserve"> el comodato como compraventa encubierta y, sobre esa base, construido la condena- no se verifica en el contenido del pronunciamiento. Por el contrario, la sentencia funda expresamente la legitimación y el deber de restitución en la existencia y eficacia del contrato de comodato acompañado, enfatizando que la calidad dominial de la actora es irrelevante para la obligación del comodatario y que el instrumento prueba el carácter de comodante y el derecho a exigir la devolución una vez vencido el plazo. </w:t>
      </w:r>
    </w:p>
    <w:p>
      <w:pPr>
        <w:pStyle w:val="[Normal]"/>
        <w:spacing w:line="360" w:lineRule="auto"/>
        <w:ind w:firstLine="1134"/>
        <w:jc w:val="both"/>
        <w:rPr>
          <w:lang w:val="es-AR" w:eastAsia="es-AR" w:bidi="es-AR"/>
        </w:rPr>
      </w:pPr>
      <w:r>
        <w:rPr>
          <w:lang w:val="es-AR" w:eastAsia="es-AR" w:bidi="es-AR"/>
        </w:rPr>
        <w:t xml:space="preserve">Tampoco hay ruptura del marco fáctico: el fallo tuvo por acreditado -sobre la base de lo no controvertido en el expediente acumulado y de la documentación aportada- el comodato gratuito por seis meses, su vencimiento en marzo de 2013 y los incumplimientos imputados (no restitución, reformas sustanciales sin autorización, falta de pago de impuestos y servicios), sin que se advierta una afirmación contradictoria con el instrumento invocado por la propia actora. La conclusión del a quo responde así a un hilo lógico: existencia de comodato, vencimiento del plazo, incumplimientos y consiguiente responsabilidad por los daños derivados. </w:t>
      </w:r>
    </w:p>
    <w:p>
      <w:pPr>
        <w:pStyle w:val="[Normal]"/>
        <w:spacing w:line="360" w:lineRule="auto"/>
        <w:ind w:firstLine="1134"/>
        <w:jc w:val="both"/>
        <w:rPr>
          <w:lang w:val="es-AR" w:eastAsia="es-AR" w:bidi="es-AR"/>
        </w:rPr>
      </w:pPr>
      <w:r>
        <w:rPr>
          <w:lang w:val="es-AR" w:eastAsia="es-AR" w:bidi="es-AR"/>
        </w:rPr>
        <w:t xml:space="preserve">A ello se suma un dato procesal objetivo que desactiva la tacha de </w:t>
      </w:r>
      <w:r>
        <w:rPr>
          <w:i/>
          <w:lang w:val="es-AR" w:eastAsia="es-AR" w:bidi="es-AR"/>
        </w:rPr>
        <w:t xml:space="preserve">“dogmatismo”</w:t>
      </w:r>
      <w:r>
        <w:rPr>
          <w:lang w:val="es-AR" w:eastAsia="es-AR" w:bidi="es-AR"/>
        </w:rPr>
        <w:t xml:space="preserve">: en el proceso de daños los demandados fueron declarados rebeldes luego de estar debidamente notificados del traslado de la demanda; en ese marco, los hechos lícitos y verosímiles expuestos por la actora quedaron fijados, operando las consecuencias de la contumacia previstas por el CPCCBA (arts. 59, 60 y 356), todo lo cual fue expresamente invocado al contestarse los agravios. Pretender, en alzada, suplir esa inactividad procesal y </w:t>
      </w:r>
      <w:r>
        <w:rPr>
          <w:i/>
          <w:lang w:val="es-AR" w:eastAsia="es-AR" w:bidi="es-AR"/>
        </w:rPr>
        <w:t xml:space="preserve">“reabrir”</w:t>
      </w:r>
      <w:r>
        <w:rPr>
          <w:lang w:val="es-AR" w:eastAsia="es-AR" w:bidi="es-AR"/>
        </w:rPr>
        <w:t xml:space="preserve"> la base fáctica bajo el rótulo de arbitrariedad, desnaturaliza el régimen de preclusión y los efectos de la rebeldía. </w:t>
      </w:r>
    </w:p>
    <w:p>
      <w:pPr>
        <w:pStyle w:val="[Normal]"/>
        <w:spacing w:line="360" w:lineRule="auto"/>
        <w:ind w:firstLine="1134"/>
        <w:jc w:val="both"/>
        <w:rPr>
          <w:lang w:val="es-AR" w:eastAsia="es-AR" w:bidi="es-AR"/>
        </w:rPr>
      </w:pPr>
      <w:r>
        <w:rPr>
          <w:lang w:val="es-AR" w:eastAsia="es-AR" w:bidi="es-AR"/>
        </w:rPr>
        <w:t xml:space="preserve">La crítica tampoco identifica un específico pasaje del fallo en el que el juez haya sostenido que el comodato </w:t>
      </w:r>
      <w:r>
        <w:rPr>
          <w:i/>
          <w:lang w:val="es-AR" w:eastAsia="es-AR" w:bidi="es-AR"/>
        </w:rPr>
        <w:t xml:space="preserve">“encubría”</w:t>
      </w:r>
      <w:r>
        <w:rPr>
          <w:lang w:val="es-AR" w:eastAsia="es-AR" w:bidi="es-AR"/>
        </w:rPr>
        <w:t xml:space="preserve"> una compraventa; ese aserto surge del propio memorial, no del razonamiento sentencial. Lo que sí hace la sentencia es apoyarse en el contrato de comodato de 2012, reconocido y no eficazmente impugnado, y en sus cláusulas -entre ellas la que prevé la multa diaria por falta de restitución- para cuantificar los rubros y fijar intereses, lo que excluye el carácter “dogmático” de la decisión. </w:t>
      </w:r>
    </w:p>
    <w:p>
      <w:pPr>
        <w:pStyle w:val="[Normal]"/>
        <w:spacing w:line="360" w:lineRule="auto"/>
        <w:ind w:firstLine="1134"/>
        <w:jc w:val="both"/>
        <w:rPr>
          <w:lang w:val="es-AR" w:eastAsia="es-AR" w:bidi="es-AR"/>
        </w:rPr>
      </w:pPr>
      <w:r>
        <w:rPr>
          <w:lang w:val="es-AR" w:eastAsia="es-AR" w:bidi="es-AR"/>
        </w:rPr>
        <w:t xml:space="preserve">Bajo el estándar estricto de la doctrina de la arbitrariedad, solo procede revisar la valoración cuando media error grave y manifiesto con quebranto de las reglas de la sana crítica (arts. 163 inc. 6, 375 y 384 CPCCBA). Aquí el ataque no demuestra una contradicción interna del fallo ni incompatibilidad con constancias objetivas; se limita a proponer una lectura alternativa de la plataforma fáctica —incluso apoyada en cuestiones cuya oportuna controversia fue dejada de lado por la propia conducta procesal—, lo que no habilita la descalificación excepcional del pronunciamiento.</w:t>
      </w:r>
    </w:p>
    <w:p>
      <w:pPr>
        <w:pStyle w:val="[Normal]"/>
        <w:spacing w:line="360" w:lineRule="auto"/>
        <w:ind w:firstLine="1134"/>
        <w:jc w:val="both"/>
        <w:rPr>
          <w:lang w:val="es-AR" w:eastAsia="es-AR" w:bidi="es-AR"/>
        </w:rPr>
      </w:pPr>
      <w:r>
        <w:rPr>
          <w:lang w:val="es-AR" w:eastAsia="es-AR" w:bidi="es-AR"/>
        </w:rPr>
        <w:t xml:space="preserve">En síntesis, la sentencia no reconfigura el negocio jurídico invocado; por el contrario, se asienta en el comodato acreditado, en su vencimiento y en los incumplimientos no eficazmente resistidos, aplicando las consecuencias pactadas y legales. No se verifica, entonces, el vicio de arbitrariedad denunciado, debiendo desestimarse el agravio. </w:t>
      </w:r>
    </w:p>
    <w:p>
      <w:pPr>
        <w:pStyle w:val="[Normal]"/>
        <w:spacing w:line="360" w:lineRule="auto"/>
        <w:ind w:firstLine="1134"/>
        <w:jc w:val="both"/>
        <w:rPr>
          <w:color w:val="000000"/>
          <w:lang w:val="es-AR" w:eastAsia="es-AR" w:bidi="es-AR"/>
        </w:rPr>
      </w:pPr>
      <w:r>
        <w:rPr>
          <w:color w:val="000000"/>
          <w:lang w:val="es-AR" w:eastAsia="es-AR" w:bidi="es-AR"/>
        </w:rPr>
        <w:t xml:space="preserve">III.- En relación al tercer agravio vinculado a la falta de intervención de la Asesoría de Incapaces, es dable comenzar diciendo que, a la luz del régimen de nulidades y de los principios que gobiernan la actuación del Ministerio Público, la nulidad procesal es de aplicación restrictiva y exige, además de la infracción formal, la acreditación de un perjuicio concreto, actual y no reparable por otras vías. Tal estándar se desprende del principio de instrumentalidad de las formas y de trascendencia del defecto, que informan el proceso bonaerense y habilitan al juez a evitar nulidades inútiles y a encauzar el trámite con medidas saneadoras cuando ello preserve mejor la defensa en juicio (arts. 34 inc. 5 y 36 CPCCBA).	 	</w:t>
      </w:r>
    </w:p>
    <w:p>
      <w:pPr>
        <w:pStyle w:val="[Normal]"/>
        <w:spacing w:line="360" w:lineRule="auto"/>
        <w:jc w:val="both"/>
        <w:rPr>
          <w:color w:val="000000"/>
          <w:lang w:val="es-AR" w:eastAsia="es-AR" w:bidi="es-AR"/>
        </w:rPr>
      </w:pPr>
      <w:r>
        <w:rPr>
          <w:color w:val="000000"/>
          <w:lang w:val="es-AR" w:eastAsia="es-AR" w:bidi="es-AR"/>
        </w:rPr>
        <w:t xml:space="preserve"> 	En el sub lite no se ha demostrado un agravio material derivado de la eventual falta de vista oportuna. La cuestión debatida es primordialmente patrimonial (desalojo) y, además, la propia sentencia apelada arbitró medidas específicas para evitar que los niños quedaran en situación de vulnerabilidad, al oficiarse a las secretarías de acción social competentes y demás organismos de protección a fin de activar redes de asistencia y acompañamiento. En consecuencia, no se advierte que en la primera instancia se haya adoptado una decisión que afecte irreversiblemente derechos sustanciales del niño (art. 3 de la ley 26.061).</w:t>
      </w:r>
    </w:p>
    <w:p>
      <w:pPr>
        <w:pStyle w:val="[Normal]"/>
        <w:spacing w:line="360" w:lineRule="auto"/>
        <w:jc w:val="both"/>
        <w:rPr>
          <w:color w:val="000000"/>
          <w:lang w:val="es-AR" w:eastAsia="es-AR" w:bidi="es-AR"/>
        </w:rPr>
      </w:pPr>
      <w:r>
        <w:rPr>
          <w:color w:val="000000"/>
          <w:lang w:val="es-AR" w:eastAsia="es-AR" w:bidi="es-AR"/>
        </w:rPr>
        <w:t xml:space="preserve"> 	Por otra parte, la intervención del Ministerio Público se produjo en esta Alzada, con conocimiento efectivo del estado de la causa y posibilidad de expedirse, lo que torna aplicable el principio de instrumentalidad de las formas y la regla de la trascendencia del defecto, habilitando el saneamiento y la convalidación cuando la eventual omisión ha perdido virtualidad lesiva por la ulterior participación del órgano especializado y por las medidas de protección ya dispuestas (arts. 34 inc. 5, 36 y 169 y ss., CPCCBA).</w:t>
      </w:r>
    </w:p>
    <w:p>
      <w:pPr>
        <w:pStyle w:val="[Normal]"/>
        <w:spacing w:line="360" w:lineRule="auto"/>
        <w:jc w:val="both"/>
        <w:rPr>
          <w:color w:val="000000"/>
          <w:lang w:val="es-AR" w:eastAsia="es-AR" w:bidi="es-AR"/>
        </w:rPr>
      </w:pPr>
      <w:r>
        <w:rPr>
          <w:color w:val="000000"/>
          <w:lang w:val="es-AR" w:eastAsia="es-AR" w:bidi="es-AR"/>
        </w:rPr>
        <w:t xml:space="preserve"> 	En efecto, la propia vista evacuada por la Asesoría de Incapaces (art. 103 CCyC y art. 38 de la Ley Orgánica del Ministerio Público), confirma: (i) que los progenitores intervinieron en el expediente de desalojo al contestar demanda (27/09/2023) y en la causa acumulada al apelar (18/06/2025), de modo que los intereses familiares -en el marco de la responsabilidad parental- han estado representados; (ii) que los hijos menores se encuentran alcanzados por el régimen de los arts. 646 y ss. del CCyC (cuidado, convivencia, alimentos y educación), por lo que no detentan una ocupación autónoma ni legitimación pasiva independiente respecto de la posición procesal de sus padres; y (iii) que la intervención del Ministerio Pupilar, en esta clase de procesos, cumple una función específica y oportuna principalmente en la etapa de lanzamiento, a fin de articular -en su caso- las medidas de protección que garanticen la tutela efectiva del derecho a la vivienda (CDN art. 3; Ley 26.061 arts. 3 y 27), criterio receptado por la jurisprudencia citada por la propia Asesoría.</w:t>
      </w:r>
    </w:p>
    <w:p>
      <w:pPr>
        <w:pStyle w:val="[Normal]"/>
        <w:spacing w:line="360" w:lineRule="auto"/>
        <w:jc w:val="both"/>
        <w:rPr>
          <w:color w:val="000000"/>
          <w:lang w:val="es-AR" w:eastAsia="es-AR" w:bidi="es-AR"/>
        </w:rPr>
      </w:pPr>
      <w:r>
        <w:rPr>
          <w:color w:val="000000"/>
          <w:lang w:val="es-AR" w:eastAsia="es-AR" w:bidi="es-AR"/>
        </w:rPr>
        <w:t xml:space="preserve"> 	Aun desde la óptica sustantiva y convencional, el estándar de tutela del niño se mantiene indemne. La Convención sobre los Derechos del Niño y la Ley 26.061 imponen el principio del interés superior y la prioridad de su consideración (art. 3 CDN; arts. 3 y 27, Ley 26.061), mientras que el Código Civil y Comercial ordena dirigir el proceso con especial atención a la tutela judicial efectiva en causas con personas menores de edad (arts. 706 y 707 CCyC). Ese plexo normativo demanda asegurar la participación del Ministerio Público y adoptar las medidas de protección necesarias, pero no convierte toda omisión de vista en causa automática de invalidación cuando no se verifica indefensión ni menoscabo real y cuando, como aquí, la intervención ya se encuentra encauzada en sede de apelación.</w:t>
      </w:r>
    </w:p>
    <w:p>
      <w:pPr>
        <w:pStyle w:val="[Normal]"/>
        <w:spacing w:line="360" w:lineRule="auto"/>
        <w:jc w:val="both"/>
        <w:rPr>
          <w:color w:val="000000"/>
          <w:lang w:val="es-AR" w:eastAsia="es-AR" w:bidi="es-AR"/>
        </w:rPr>
      </w:pPr>
      <w:r>
        <w:rPr>
          <w:color w:val="000000"/>
          <w:lang w:val="es-AR" w:eastAsia="es-AR" w:bidi="es-AR"/>
        </w:rPr>
        <w:t xml:space="preserve"> 	Incluso si se entendiera que la vista debió conferirse con anterioridad, el defecto aparece carente de trascendencia invalidante. La parte que invoca la nulidad no ha demostrado qué defensa concreta le fue impedida, qué medio probatorio dejó de ofrecer o producir por falta de intervención de la Asesoría, ni cómo la decisión recurrida habría variado de haberse conferido la vista en un estadio anterior. La mera invocación formal del vicio no satisface la carga de acreditar perjuicio efectivo ni desbarata el principio de conservación de los actos procesales válidos (arts. 34 inc. 5, 36 y 169 y ss. CPCCBA).</w:t>
      </w:r>
    </w:p>
    <w:p>
      <w:pPr>
        <w:pStyle w:val="[Normal]"/>
        <w:spacing w:line="360" w:lineRule="auto"/>
        <w:ind w:firstLine="1134"/>
        <w:jc w:val="both"/>
        <w:rPr>
          <w:lang w:val="es-AR" w:eastAsia="es-AR" w:bidi="es-AR"/>
        </w:rPr>
      </w:pPr>
      <w:r>
        <w:rPr>
          <w:color w:val="000000"/>
          <w:lang w:val="es-AR" w:eastAsia="es-AR" w:bidi="es-AR"/>
        </w:rPr>
        <w:t xml:space="preserve"> En suma, no configurándose un perjuicio cierto e irreparable, habiendo intervenido ya el Ministerio Público en esta instancia y pudiendo garantizarse plenamente su actuación en la fase decisoria subsiguiente, corresponde rechazar el agravio.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w:t>
      </w:r>
      <w:r>
        <w:rPr>
          <w:b/>
          <w:lang w:val="es-AR" w:eastAsia="es-AR" w:bidi="es-AR"/>
        </w:rPr>
        <w:t xml:space="preserve"> </w:t>
      </w:r>
      <w:r>
        <w:rPr>
          <w:lang w:val="es-AR" w:eastAsia="es-AR" w:bidi="es-AR"/>
        </w:rPr>
        <w:t xml:space="preserve">interpuesto por la parte demandada,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demandada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lang w:val="es-AR" w:eastAsia="es-AR" w:bidi="es-AR"/>
        </w:rPr>
        <w:t xml:space="preserve">2.- </w:t>
      </w:r>
      <w:r>
        <w:rPr>
          <w:b/>
          <w:lang w:val="es-AR" w:eastAsia="es-AR" w:bidi="es-AR"/>
        </w:rPr>
        <w:t xml:space="preserve">Expte. Nro. 66.377</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de Daños y Perjuicios instaurada por Norma Patricia Andrada, condenando en consecuencia a Carlos Leandro Trillo y Gabriela Alejandra Castro, a abonar  a  la  parte  actora, dentro de los diez días de notificada la presente, la  suma  de  PESOS UN MILLON CINCUENTA Y OCHO MIL SETECIENTOS CINCUENTA Y OCHO ($1.058.758),  con más sus intereses, calculados en la forma señalada en el Apart. V.  Aplicó las costas a la parte demandada que resulta vencida. Difirió la regulación de honorarios de los profesionales y peritos.</w:t>
      </w:r>
    </w:p>
    <w:p>
      <w:pPr>
        <w:pStyle w:val="[Normal]"/>
        <w:spacing w:line="360" w:lineRule="auto"/>
        <w:jc w:val="both"/>
        <w:rPr>
          <w:b/>
          <w:lang w:val="es-AR" w:eastAsia="es-AR" w:bidi="es-AR"/>
        </w:rPr>
      </w:pPr>
      <w:r>
        <w:rPr>
          <w:lang w:val="es-AR" w:eastAsia="es-AR" w:bidi="es-AR"/>
        </w:rPr>
        <w:t xml:space="preserve"> 	En disconformidad con lo resuelto apeló 27-2-2025 la parte demandada, recurso concedido libremente el 12-3-2025, ingresando la causa el 4-8-2025 a esta Alzada expresa sus agravios el 20-8-2025, y dándose Vista a la Asesora de Incapaces da respuesta a la misma el 17-9-2025, conferido el traslado pertinente a la actora el 18-9-2025, es evacuado el 29-9-2025, dictándose el llamamiento de autos para sentencia el 2-10-2025, providencia que firme a la fecha deja la  causa en condiciones de ser resuelta.-</w:t>
      </w:r>
    </w:p>
    <w:p>
      <w:pPr>
        <w:pStyle w:val="[Normal]"/>
        <w:spacing w:line="360" w:lineRule="auto"/>
        <w:jc w:val="both"/>
        <w:rPr>
          <w:lang w:val="es-AR" w:eastAsia="es-AR" w:bidi="es-AR"/>
        </w:rPr>
      </w:pPr>
      <w:r>
        <w:rPr>
          <w:lang w:val="es-AR" w:eastAsia="es-AR" w:bidi="es-AR"/>
        </w:rPr>
        <w:t xml:space="preserve"> 	En sustento de su crítica recursiva, la parte demandada expresó los siguientes puntos fundamentales de agravio: 	</w:t>
        <w:br w:type="textWrapping"/>
      </w:r>
      <w:r>
        <w:rPr>
          <w:lang w:val="es-AR" w:eastAsia="es-AR" w:bidi="es-AR"/>
        </w:rPr>
        <w:t xml:space="preserve"> 	1) Indebida declaración de </w:t>
      </w:r>
      <w:r>
        <w:rPr>
          <w:i/>
          <w:lang w:val="es-AR" w:eastAsia="es-AR" w:bidi="es-AR"/>
        </w:rPr>
        <w:t xml:space="preserve">“cuestión de puro derecho”</w:t>
      </w:r>
      <w:r>
        <w:rPr>
          <w:lang w:val="es-AR" w:eastAsia="es-AR" w:bidi="es-AR"/>
        </w:rPr>
        <w:t xml:space="preserve">. En tal sentido, impugna que el a quo haya calificado así el trámite y dictado sentencia sin abrir prueba, pese a la existencia de hechos sustanciales controvertidos y conducentes (origen y título de la ocupación -comodato, tolerancia o tratativas/promesa de compraventa-, existencia e imputación de pagos a cuenta del precio, realización y entidad de mejoras, y legitimación activa plena). </w:t>
      </w:r>
    </w:p>
    <w:p>
      <w:pPr>
        <w:pStyle w:val="[Normal]"/>
        <w:spacing w:line="360" w:lineRule="auto"/>
        <w:jc w:val="both"/>
        <w:rPr>
          <w:lang w:val="es-AR" w:eastAsia="es-AR" w:bidi="es-AR"/>
        </w:rPr>
      </w:pPr>
      <w:r>
        <w:rPr>
          <w:lang w:val="es-AR" w:eastAsia="es-AR" w:bidi="es-AR"/>
        </w:rPr>
        <w:t xml:space="preserve"> 	Consecuentemente, denuncia afectación del derecho de defensa por impedir la producción y valoración de prueba ofrecida en tiempo y forma, con quiebre de las reglas de la sana crítica (arts. 375 y 384 CPCCBA). </w:t>
      </w:r>
    </w:p>
    <w:p>
      <w:pPr>
        <w:pStyle w:val="[Normal]"/>
        <w:spacing w:line="360" w:lineRule="auto"/>
        <w:jc w:val="both"/>
        <w:rPr>
          <w:lang w:val="es-AR" w:eastAsia="es-AR" w:bidi="es-AR"/>
        </w:rPr>
      </w:pPr>
      <w:r>
        <w:rPr>
          <w:lang w:val="es-AR" w:eastAsia="es-AR" w:bidi="es-AR"/>
        </w:rPr>
        <w:t xml:space="preserve"> 	En virtud de ello, solicita revocar el fallo y retrotraer al estado de apertura probatoria en la instancia de origen. Y subsidiariamente, pide habilitar prueba en alzada (art. 255 CPCCBA) con puntos precisos y bilateralidad.</w:t>
      </w:r>
    </w:p>
    <w:p>
      <w:pPr>
        <w:pStyle w:val="[Normal]"/>
        <w:spacing w:line="360" w:lineRule="auto"/>
        <w:jc w:val="both"/>
        <w:rPr>
          <w:lang w:val="es-AR" w:eastAsia="es-AR" w:bidi="es-AR"/>
        </w:rPr>
      </w:pPr>
      <w:r>
        <w:rPr>
          <w:lang w:val="es-AR" w:eastAsia="es-AR" w:bidi="es-AR"/>
        </w:rPr>
        <w:t xml:space="preserve"> 	2) Falta de intervención de la Asesoría de Incapaces. En relación a este punto, alega omisión de vista oportuna al Ministerio Público pese a la existencia de un menor, con menoscabo de la tutela judicial efectiva y del interés superior del niño. Postula que la ausencia de control técnico específico incidió en decisiones relevantes del trámite y en la selección de la vía procesal, comprometiendo la validez del pronunciamiento. Se pide reconocer el defecto y asegurar la intervención del órgano especializado en toda nueva actividad, especialmente en la etapa probatoria, con revisión de los actos cumplidos sin su participación cuando corresponda. Se solicita que la Cámara disponga medidas para mejor proveer y vista obligatoria en los hitos procesales pertinentes.	</w:t>
        <w:br w:type="textWrapping"/>
      </w:r>
      <w:r>
        <w:rPr>
          <w:lang w:val="es-AR" w:eastAsia="es-AR" w:bidi="es-AR"/>
        </w:rPr>
        <w:t xml:space="preserve"> 	A su turno, la parte actora contesta el traslado correspondiente a la expresión de agravios. En tal sentido, pide que se declare desierto el recurso por falta de crítica concreta y razonada (art. 260 CPCCBA) y por ser mera reiteración de defensas ya vertidas en la contestación. Sostiene que la providencia que calificó la causa como cuestión de puro derecho (05/03/2024) quedó consentida por la demandada al no impugnarla oportunamente, operando la preclusión. Afirma que no hubo hechos eficazmente controvertidos, que el debate era predominantemente jurídico y que, por ello, no correspondía abrir etapa probatoria. Rechaza la apertura probatoria en alzada por no configurarse los presupuestos del art. 255 CPCCBA y por la propia inacción de la apelante. Y descarta la nulidad por ausencia de perjuicio concreto y por fundarse el fallo en premisas procesales válidas señalando que la vista conferida en Cámara saneó cualquier eventual omisión. Peticiona, en definitiva, la confirmación de la sentencia con costas.</w:t>
      </w:r>
    </w:p>
    <w:p>
      <w:pPr>
        <w:pStyle w:val="[Normal]"/>
        <w:spacing w:line="360" w:lineRule="auto"/>
        <w:jc w:val="both"/>
        <w:rPr>
          <w:color w:val="000000"/>
          <w:lang w:val="es-AR" w:eastAsia="es-AR" w:bidi="es-AR"/>
        </w:rPr>
      </w:pPr>
      <w:r>
        <w:rPr>
          <w:b/>
          <w:lang w:val="es-AR" w:eastAsia="es-AR" w:bidi="es-AR"/>
        </w:rPr>
        <w:t xml:space="preserve">  	</w:t>
      </w:r>
      <w:r>
        <w:rPr>
          <w:lang w:val="es-AR" w:eastAsia="es-AR" w:bidi="es-AR"/>
        </w:rPr>
        <w:t xml:space="preserve">Entrando a resolver, advierto que </w:t>
      </w:r>
      <w:r>
        <w:rPr>
          <w:color w:val="000000"/>
          <w:lang w:val="es-AR" w:eastAsia="es-AR" w:bidi="es-AR"/>
        </w:rPr>
        <w:t xml:space="preserve">la cuestión sometida a revisión se circunscribe a determinar si resultó jurídicamente admisible que el a quo declarara la causa como </w:t>
      </w:r>
      <w:r>
        <w:rPr>
          <w:i/>
          <w:color w:val="000000"/>
          <w:lang w:val="es-AR" w:eastAsia="es-AR" w:bidi="es-AR"/>
        </w:rPr>
        <w:t xml:space="preserve">“cuestión de puro derecho”</w:t>
      </w:r>
      <w:r>
        <w:rPr>
          <w:color w:val="000000"/>
          <w:lang w:val="es-AR" w:eastAsia="es-AR" w:bidi="es-AR"/>
        </w:rPr>
        <w:t xml:space="preserve"> y decidiera el desalojo sin apertura de la etapa probatoria. En segundo término, habrá que determinar si la falta de intervención oportuna de la Asesoría de Incapaces en la instancia de grado ha derivado en la nulidad de las actuaciones posteriores.</w:t>
      </w:r>
    </w:p>
    <w:p>
      <w:pPr>
        <w:pStyle w:val="[Normal]"/>
        <w:spacing w:line="360" w:lineRule="auto"/>
        <w:jc w:val="both"/>
        <w:rPr>
          <w:color w:val="000000"/>
          <w:lang w:val="es-AR" w:eastAsia="es-AR" w:bidi="es-AR"/>
        </w:rPr>
      </w:pPr>
      <w:r>
        <w:rPr>
          <w:color w:val="000000"/>
          <w:lang w:val="es-AR" w:eastAsia="es-AR" w:bidi="es-AR"/>
        </w:rPr>
        <w:t xml:space="preserve"> 	Así pues, el nudo gordiano del asunto nos reconduce a esclarecer en primer término si efectivamente se verificaron en la especie hechos controvertidos y conducentes entre las partes cuya dilucidación requería actividad probatoria con bilateralidad y control y, en su caso, a definir si la tramitación de la causa como de puro derecho vulneró el derecho de defensa. </w:t>
      </w:r>
    </w:p>
    <w:p>
      <w:pPr>
        <w:pStyle w:val="[Normal]"/>
        <w:spacing w:line="360" w:lineRule="auto"/>
        <w:jc w:val="both"/>
        <w:rPr>
          <w:color w:val="000000"/>
          <w:lang w:val="es-AR" w:eastAsia="es-AR" w:bidi="es-AR"/>
        </w:rPr>
      </w:pPr>
      <w:r>
        <w:rPr>
          <w:color w:val="000000"/>
          <w:lang w:val="es-AR" w:eastAsia="es-AR" w:bidi="es-AR"/>
        </w:rPr>
        <w:t xml:space="preserve"> 	Ahora bien, existe un aspecto previo y habilitante para ingresar en el conocimiento de tales dimensiones, cuál es determinar primeramente si la resolución que declaró la cuestión como de puro derecho fue o no consentida por la parte demandada aquí apelante.</w:t>
      </w:r>
    </w:p>
    <w:p>
      <w:pPr>
        <w:pStyle w:val="[Normal]"/>
        <w:spacing w:line="360" w:lineRule="auto"/>
        <w:jc w:val="both"/>
        <w:rPr>
          <w:color w:val="000000"/>
          <w:lang w:val="es-AR" w:eastAsia="es-AR" w:bidi="es-AR"/>
        </w:rPr>
      </w:pPr>
      <w:r>
        <w:rPr>
          <w:color w:val="000000"/>
          <w:lang w:val="es-AR" w:eastAsia="es-AR" w:bidi="es-AR"/>
        </w:rPr>
        <w:t xml:space="preserve"> 	Ello así, y dada la preeminencia lógica y cronológica de la referida cuestión (y su carácter dirimente) en relación al contenido principal de la impugnación recursiva, he de comenzar metodológicamente mi análisis con el estudio de tal aspecto.</w:t>
      </w:r>
    </w:p>
    <w:p>
      <w:pPr>
        <w:pStyle w:val="[Normal]"/>
        <w:spacing w:line="360" w:lineRule="auto"/>
        <w:jc w:val="both"/>
        <w:rPr>
          <w:color w:val="000000"/>
          <w:lang w:val="es-AR" w:eastAsia="es-AR" w:bidi="es-AR"/>
        </w:rPr>
      </w:pPr>
      <w:r>
        <w:rPr>
          <w:color w:val="000000"/>
          <w:lang w:val="es-AR" w:eastAsia="es-AR" w:bidi="es-AR"/>
        </w:rPr>
        <w:t xml:space="preserve"> 	I.- Impuesto entonces en dicha tarea, he de anticipar que corresponde desestimar el recurso por haberse operado la preclusión derivada del consentimiento de la providencia que declaró la tramitación como </w:t>
      </w:r>
      <w:r>
        <w:rPr>
          <w:i/>
          <w:color w:val="000000"/>
          <w:lang w:val="es-AR" w:eastAsia="es-AR" w:bidi="es-AR"/>
        </w:rPr>
        <w:t xml:space="preserve">“cuestión de puro derecho”</w:t>
      </w:r>
      <w:r>
        <w:rPr>
          <w:color w:val="000000"/>
          <w:lang w:val="es-AR" w:eastAsia="es-AR" w:bidi="es-AR"/>
        </w:rPr>
        <w:t xml:space="preserve">. </w:t>
      </w:r>
    </w:p>
    <w:p>
      <w:pPr>
        <w:pStyle w:val="[Normal]"/>
        <w:spacing w:line="360" w:lineRule="auto"/>
        <w:jc w:val="both"/>
        <w:rPr>
          <w:color w:val="000000"/>
          <w:lang w:val="es-AR" w:eastAsia="es-AR" w:bidi="es-AR"/>
        </w:rPr>
      </w:pPr>
      <w:r>
        <w:rPr>
          <w:color w:val="000000"/>
          <w:lang w:val="es-AR" w:eastAsia="es-AR" w:bidi="es-AR"/>
        </w:rPr>
        <w:t xml:space="preserve"> 	Esto se debe a que la declaración fue dictada el 05/03/2024 y la parte demandada, a quien incumbía oponerse por la vía idónea, guardó silencio, sin articular recurso de reposición (simple o con apelación en subsidio) ni otro remedio oportuno. La inacción ante una resolución de trámite impugnable importa aquiescencia y torna inadmisible reabrir su discusión en la alzada, so riesgo de vulnerar la estabilidad de los actos procesales y el principio de igualdad de las partes. </w:t>
      </w:r>
    </w:p>
    <w:p>
      <w:pPr>
        <w:pStyle w:val="[Normal]"/>
        <w:spacing w:line="360" w:lineRule="auto"/>
        <w:jc w:val="both"/>
        <w:rPr>
          <w:color w:val="000000"/>
          <w:lang w:val="es-AR" w:eastAsia="es-AR" w:bidi="es-AR"/>
        </w:rPr>
      </w:pPr>
      <w:r>
        <w:rPr>
          <w:color w:val="000000"/>
          <w:lang w:val="es-AR" w:eastAsia="es-AR" w:bidi="es-AR"/>
        </w:rPr>
        <w:t xml:space="preserve"> 	La doctrina de la preclusión -que estructura el iter del proceso civil y distribuye cargas en plazos perentorios- impide reintroducir, de modo extemporáneo, cuestionamientos que debieron plantearse cuando la decisión fue dictada y notificada. </w:t>
      </w:r>
    </w:p>
    <w:p>
      <w:pPr>
        <w:pStyle w:val="[Normal]"/>
        <w:spacing w:line="360" w:lineRule="auto"/>
        <w:jc w:val="both"/>
        <w:rPr>
          <w:color w:val="000000"/>
          <w:lang w:val="es-AR" w:eastAsia="es-AR" w:bidi="es-AR"/>
        </w:rPr>
      </w:pPr>
      <w:r>
        <w:rPr>
          <w:color w:val="000000"/>
          <w:lang w:val="es-AR" w:eastAsia="es-AR" w:bidi="es-AR"/>
        </w:rPr>
        <w:t xml:space="preserve"> 	Al respecto, ha dicho </w:t>
      </w:r>
      <w:r>
        <w:rPr>
          <w:lang w:val="es-AR" w:eastAsia="es-AR" w:bidi="es-AR"/>
        </w:rPr>
        <w:t xml:space="preserve">reiteradamente este Tribunal que </w:t>
      </w:r>
      <w:r>
        <w:rPr>
          <w:i/>
          <w:lang w:val="es-AR" w:eastAsia="es-AR" w:bidi="es-AR"/>
        </w:rPr>
        <w:t xml:space="preserve">"si la providencia o resolución contra la que se deduce el recurso de apelación denegado, es consecuencia de una anterior que se halla firme y consentida, aquel remedio deviene improcedente por imperio del principio de preclusión (arg. art. 36 inc.1, 155, 242 del CPCC)"</w:t>
      </w:r>
      <w:r>
        <w:rPr>
          <w:lang w:val="es-AR" w:eastAsia="es-AR" w:bidi="es-AR"/>
        </w:rPr>
        <w:t xml:space="preserve"> (Confr. este Tribunal causas 505-10 RSI 10/11; 847-11 RSI 13/11; 975 RSI 108/11, ent. ots.). Lo que sella el resultado de la presente via recursiva.	</w:t>
      </w:r>
      <w:r>
        <w:rPr>
          <w:color w:val="000000"/>
          <w:lang w:val="es-AR" w:eastAsia="es-AR" w:bidi="es-AR"/>
        </w:rPr>
        <w:br w:type="textWrapping"/>
      </w:r>
      <w:r>
        <w:rPr>
          <w:color w:val="000000"/>
          <w:lang w:val="es-AR" w:eastAsia="es-AR" w:bidi="es-AR"/>
        </w:rPr>
        <w:t xml:space="preserve"> 	En la especie, la demandada, habiendo guardado silencio frente a la declaración de puro derecho, no puede, en etapa recursiva, retrotraer su propia inacción ni invocar nulidades que no denunció oportunamente. La seguridad jurídica y la buena fe procesal exigen mantener firmes los actos consentidos, incluso para el propio órgano jurisdiccional. </w:t>
      </w:r>
    </w:p>
    <w:p>
      <w:pPr>
        <w:pStyle w:val="[Normal]"/>
        <w:spacing w:line="360" w:lineRule="auto"/>
        <w:jc w:val="both"/>
        <w:rPr>
          <w:color w:val="000000"/>
          <w:lang w:val="es-AR" w:eastAsia="es-AR" w:bidi="es-AR"/>
        </w:rPr>
      </w:pPr>
      <w:r>
        <w:rPr>
          <w:color w:val="000000"/>
          <w:lang w:val="es-AR" w:eastAsia="es-AR" w:bidi="es-AR"/>
        </w:rPr>
        <w:t xml:space="preserve"> 	El memorial de la actora pone de relieve, con precisión, que la cuestión fue “</w:t>
      </w:r>
      <w:r>
        <w:rPr>
          <w:i/>
          <w:color w:val="000000"/>
          <w:lang w:val="es-AR" w:eastAsia="es-AR" w:bidi="es-AR"/>
        </w:rPr>
        <w:t xml:space="preserve">resuelta oportunamente”</w:t>
      </w:r>
      <w:r>
        <w:rPr>
          <w:color w:val="000000"/>
          <w:lang w:val="es-AR" w:eastAsia="es-AR" w:bidi="es-AR"/>
        </w:rPr>
        <w:t xml:space="preserve"> y </w:t>
      </w:r>
      <w:r>
        <w:rPr>
          <w:i/>
          <w:color w:val="000000"/>
          <w:lang w:val="es-AR" w:eastAsia="es-AR" w:bidi="es-AR"/>
        </w:rPr>
        <w:t xml:space="preserve">“consentida expresamente” </w:t>
      </w:r>
      <w:r>
        <w:rPr>
          <w:color w:val="000000"/>
          <w:lang w:val="es-AR" w:eastAsia="es-AR" w:bidi="es-AR"/>
        </w:rPr>
        <w:t xml:space="preserve">por la demandada al no interponer recurso ni objeción alguna en término. De allí que el planteo posterior resulte extemporáneo, pues pretende desconocer los efectos de su propio consentimiento, contrariando la regla de que las decisiones de trámite, si no son atacadas en tiempo, se consolidan y no pueden ser reabiertas en la apelación contra la sentencia definitiva. </w:t>
      </w:r>
    </w:p>
    <w:p>
      <w:pPr>
        <w:pStyle w:val="[Normal]"/>
        <w:spacing w:line="360" w:lineRule="auto"/>
        <w:jc w:val="both"/>
        <w:rPr>
          <w:color w:val="000000"/>
          <w:lang w:val="es-AR" w:eastAsia="es-AR" w:bidi="es-AR"/>
        </w:rPr>
      </w:pPr>
      <w:r>
        <w:rPr>
          <w:color w:val="000000"/>
          <w:lang w:val="es-AR" w:eastAsia="es-AR" w:bidi="es-AR"/>
        </w:rPr>
        <w:t xml:space="preserve"> 	Tampoco conmueve esa conclusión el alegato recursivo que procura desplazar la falta de impugnación inmediata hacia una pretendida </w:t>
      </w:r>
      <w:r>
        <w:rPr>
          <w:i/>
          <w:color w:val="000000"/>
          <w:lang w:val="es-AR" w:eastAsia="es-AR" w:bidi="es-AR"/>
        </w:rPr>
        <w:t xml:space="preserve">“nulidad por arrastre”</w:t>
      </w:r>
      <w:r>
        <w:rPr>
          <w:color w:val="000000"/>
          <w:lang w:val="es-AR" w:eastAsia="es-AR" w:bidi="es-AR"/>
        </w:rPr>
        <w:t xml:space="preserve">. La vía elegida no suple la omisión anterior: por un lado, el recurso de nulidad se constriñe a vicios de la sentencia; por el otro, los vicios de procedimiento anteriores debieron ser reparados en la misma instancia por los carriles disponibles en tiempo útil. Una interpretación contraria vaciaría de contenido la función ordenadora de los plazos, permitiría reabrir in infinitum cuestiones precluidas y lesionaría la estabilidad del proceso. </w:t>
      </w:r>
    </w:p>
    <w:p>
      <w:pPr>
        <w:pStyle w:val="[Normal]"/>
        <w:spacing w:line="360" w:lineRule="auto"/>
        <w:jc w:val="both"/>
        <w:rPr>
          <w:color w:val="000000"/>
          <w:lang w:val="es-AR" w:eastAsia="es-AR" w:bidi="es-AR"/>
        </w:rPr>
      </w:pPr>
      <w:r>
        <w:rPr>
          <w:color w:val="000000"/>
          <w:lang w:val="es-AR" w:eastAsia="es-AR" w:bidi="es-AR"/>
        </w:rPr>
        <w:t xml:space="preserve"> 	Aun cuando la demandada hubiera ofrecido prueba al contestar la demanda, ese dato no excusa la carga de reaccionar frente a la providencia que, explícitamente, calificó la causa como de puro derecho. La carga procesal de impugnar en tiempo las decisiones que afectan el trámite de la prueba recae sobre quien se dice perjudicado; el silencio, en este contexto, importa aquiescencia. Pretender ahora “reabrir” la etapa probatoria a partir de agravios contra la sentencia definitiva desconoce la secuencia legal de saneamiento y conduce a una indebida sustitución del régimen recursivo por una revisión plena de actos consentidos. </w:t>
      </w:r>
    </w:p>
    <w:p>
      <w:pPr>
        <w:pStyle w:val="[Normal]"/>
        <w:spacing w:line="360" w:lineRule="auto"/>
        <w:jc w:val="both"/>
        <w:rPr>
          <w:color w:val="000000"/>
          <w:lang w:val="es-AR" w:eastAsia="es-AR" w:bidi="es-AR"/>
        </w:rPr>
      </w:pPr>
      <w:r>
        <w:rPr>
          <w:color w:val="000000"/>
          <w:lang w:val="es-AR" w:eastAsia="es-AR" w:bidi="es-AR"/>
        </w:rPr>
        <w:t xml:space="preserve"> 	Tampoco resulta atendible el pedido subsidiario de producción de prueba en alzada formulado en el escrito impugnativo a la luz del régimen excepcional del artículo 255 del CPCCBA. </w:t>
      </w:r>
    </w:p>
    <w:p>
      <w:pPr>
        <w:pStyle w:val="[Normal]"/>
        <w:spacing w:line="360" w:lineRule="auto"/>
        <w:jc w:val="both"/>
        <w:rPr>
          <w:color w:val="000000"/>
          <w:lang w:val="es-AR" w:eastAsia="es-AR" w:bidi="es-AR"/>
        </w:rPr>
      </w:pPr>
      <w:r>
        <w:rPr>
          <w:color w:val="000000"/>
          <w:lang w:val="es-AR" w:eastAsia="es-AR" w:bidi="es-AR"/>
        </w:rPr>
        <w:t xml:space="preserve"> 	La regla es que la segunda instancia opera como juicio de derecho, sobre la base fáctica fijada en la anterior, y la recepción probatoria ante la Cámara constituye una excepción de interpretación restrictiva. Para su procedencia, el artículo 255 exige que la parte demuestre con precisión que la prueba es indispensable y que su omisión no le es imputable, o bien que exista denegatoria concreta de prueba o imposibilidad objetiva de producirla en la instancia de origen. Nada de ello se verifica en el sub examine.</w:t>
      </w:r>
    </w:p>
    <w:p>
      <w:pPr>
        <w:pStyle w:val="[Normal]"/>
        <w:spacing w:line="360" w:lineRule="auto"/>
        <w:jc w:val="both"/>
        <w:rPr>
          <w:color w:val="000000"/>
          <w:lang w:val="es-AR" w:eastAsia="es-AR" w:bidi="es-AR"/>
        </w:rPr>
      </w:pPr>
      <w:r>
        <w:rPr>
          <w:color w:val="000000"/>
          <w:lang w:val="es-AR" w:eastAsia="es-AR" w:bidi="es-AR"/>
        </w:rPr>
        <w:t xml:space="preserve">  	En primer lugar, el planteo se enfrenta a la preclusión derivada del consentimiento de la providencia que declaró la tramitación como “cuestión de puro derecho”. De conformidad con los artículos 34 inciso 5, 36 y 155 del CPCCBA, la parte tenía a su alcance la reposición u otro remedio oportuno para cuestionar el modo de trámite que afectaba la actividad probatoria. Al no hacerlo en tiempo útil, la inacción fractura el presupuesto de “falta no imputable” que exige el artículo 255, pues el impedimento para producir prueba no obedece a un obrar del órgano jurisdiccional sino a la propia conducta procesal del recurrente.</w:t>
      </w:r>
    </w:p>
    <w:p>
      <w:pPr>
        <w:pStyle w:val="[Normal]"/>
        <w:spacing w:line="360" w:lineRule="auto"/>
        <w:jc w:val="both"/>
        <w:rPr>
          <w:color w:val="000000"/>
          <w:lang w:val="es-AR" w:eastAsia="es-AR" w:bidi="es-AR"/>
        </w:rPr>
      </w:pPr>
      <w:r>
        <w:rPr>
          <w:color w:val="000000"/>
          <w:lang w:val="es-AR" w:eastAsia="es-AR" w:bidi="es-AR"/>
        </w:rPr>
        <w:t xml:space="preserve"> 	En segundo término, no hay una denegatoria específica de prueba que habilite la vía excepcional. La declaración de puro derecho -consentida- fijó el cauce del proceso y cerró razonablemente la instrucción. Pretender, en etapa recursiva, reabrir por la vía oblicua del artículo 255 lo que quedó firme por aquiescencia, desnaturaliza el sistema recursivo de los artículos 260 a 266 del CPCCBA, que exige canalizar los agravios por los carriles temporales y formales propios, y preserva la estabilidad de las decisiones de trámite no impugnadas.</w:t>
      </w:r>
    </w:p>
    <w:p>
      <w:pPr>
        <w:pStyle w:val="[Normal]"/>
        <w:spacing w:line="360" w:lineRule="auto"/>
        <w:jc w:val="both"/>
        <w:rPr>
          <w:color w:val="000000"/>
          <w:lang w:val="es-AR" w:eastAsia="es-AR" w:bidi="es-AR"/>
        </w:rPr>
      </w:pPr>
      <w:r>
        <w:rPr>
          <w:color w:val="000000"/>
          <w:lang w:val="es-AR" w:eastAsia="es-AR" w:bidi="es-AR"/>
        </w:rPr>
        <w:t xml:space="preserve"> 	Aun si se dejara de lado lo anterior, el planteo carece del rigor técnico que demanda el artículo 255. La parte no individualiza con suficiencia los puntos de hecho cuya acreditación sería imprescindible, los medios concretos, su idoneidad y la razón por la cual el resultado del litigio dependería necesariamente de su producción, con la precisión que exigen los artículos 362, 363, 375 y 384 del CPCCBA. La invocación genérica de testimonial, pericia o documental, sin vinculación puntual con hechos controvertidos y conducentes, no satisface el estándar de indispensabilidad probatoria.</w:t>
      </w:r>
    </w:p>
    <w:p>
      <w:pPr>
        <w:pStyle w:val="[Normal]"/>
        <w:spacing w:line="360" w:lineRule="auto"/>
        <w:jc w:val="both"/>
        <w:rPr>
          <w:color w:val="000000"/>
          <w:lang w:val="es-AR" w:eastAsia="es-AR" w:bidi="es-AR"/>
        </w:rPr>
      </w:pPr>
      <w:r>
        <w:rPr>
          <w:color w:val="000000"/>
          <w:lang w:val="es-AR" w:eastAsia="es-AR" w:bidi="es-AR"/>
        </w:rPr>
        <w:t xml:space="preserve"> 	Finalmente, la apertura probatoria en alzada, en un escenario de preclusión consumada, tensionaría los límites de la instancia y el principio de congruencia que gobierna la apelación (arts. 260, 266 y 272 CPCCBA). Ello forzaría a introducir debate fáctico nuevo con merma de bilateralidad real e inmediación, desvirtuando la función revisora de la Cámara y afectando la paridad procesal de la contraparte que confió legítimamente en la firmeza del modo de trámite no cuestionado.</w:t>
      </w:r>
    </w:p>
    <w:p>
      <w:pPr>
        <w:pStyle w:val="[Normal]"/>
        <w:spacing w:line="360" w:lineRule="auto"/>
        <w:jc w:val="both"/>
        <w:rPr>
          <w:color w:val="000000"/>
          <w:lang w:val="es-AR" w:eastAsia="es-AR" w:bidi="es-AR"/>
        </w:rPr>
      </w:pPr>
      <w:r>
        <w:rPr>
          <w:color w:val="000000"/>
          <w:lang w:val="es-AR" w:eastAsia="es-AR" w:bidi="es-AR"/>
        </w:rPr>
        <w:t xml:space="preserve"> 	Por estas razones, a la luz de los artículos 255, 260 a 266, 362, 363, 375 y 384 del CPCCBA, el pedido subsidiario de producción de prueba en segunda instancia debe ser desestimado, manteniéndose el conocimiento de la alzada dentro de su cauce estrictamente revisor.</w:t>
      </w:r>
    </w:p>
    <w:p>
      <w:pPr>
        <w:pStyle w:val="[Normal]"/>
        <w:spacing w:line="360" w:lineRule="auto"/>
        <w:ind w:firstLine="1134"/>
        <w:jc w:val="both"/>
        <w:rPr>
          <w:lang w:val="es-AR" w:eastAsia="es-AR" w:bidi="es-AR"/>
        </w:rPr>
      </w:pPr>
      <w:r>
        <w:rPr>
          <w:color w:val="000000"/>
          <w:lang w:val="es-AR" w:eastAsia="es-AR" w:bidi="es-AR"/>
        </w:rPr>
        <w:t xml:space="preserve"> II.- </w:t>
      </w:r>
      <w:r>
        <w:rPr>
          <w:lang w:val="es-AR" w:eastAsia="es-AR" w:bidi="es-AR"/>
        </w:rPr>
        <w:t xml:space="preserve">Finalmente en punto a la crítica vinculada a la falta de intervención de la Asesora de Menores, dada la identidad absoluta de la diatriba formulada en sendos expedientes, remitiré a lo ya expuesto frente a análoga objeción planteada en la causa acumulada n° 61.714, a fin de evitar reiteraciones innecesarias.</w:t>
      </w:r>
    </w:p>
    <w:p>
      <w:pPr>
        <w:pStyle w:val="[Normal]"/>
        <w:spacing w:line="360" w:lineRule="auto"/>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demandada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demandada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Glósese copia de la presente a la causa acumulada n° 5704  </w:t>
      </w:r>
      <w:r>
        <w:rPr>
          <w:b/>
          <w:lang w:val="es-AR" w:eastAsia="es-AR" w:bidi="es-AR"/>
        </w:rPr>
        <w:t xml:space="preserve">"ANDRADA NORMA PATRICIA C/ CASTRO GABRIELA ALEJANDRA Y OTRO S/ DESALOJO ANTICIPADO"</w:t>
      </w:r>
      <w:r>
        <w:rPr>
          <w:lang w:val="es-AR" w:eastAsia="es-AR" w:bidi="es-AR"/>
        </w:rPr>
        <w:t xml:space="preserve"> Expte. Nro. 66.377, del Juzgado Civil y Comercial N° 3 departamental.-</w:t>
      </w:r>
    </w:p>
    <w:p>
      <w:pPr>
        <w:pStyle w:val="[Normal]"/>
        <w:spacing w:line="360" w:lineRule="auto"/>
        <w:ind w:firstLine="1134"/>
        <w:jc w:val="both"/>
        <w:rPr>
          <w:b/>
          <w:u w:val="single"/>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10:06:08 -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10:31:32 -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11:55:54 -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‰8,")è&amp;hg=3Š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241202090006727129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11:56:07 hs. bajo el número RS-192-2025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