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5814-25</w:t>
      </w:r>
      <w:r>
        <w:rPr>
          <w:lang w:val="es-AR" w:eastAsia="es-AR" w:bidi="es-AR"/>
        </w:rPr>
        <w:t xml:space="preserve"> caratulada </w:t>
      </w:r>
      <w:r>
        <w:rPr>
          <w:b/>
          <w:lang w:val="es-AR" w:eastAsia="es-AR" w:bidi="es-AR"/>
        </w:rPr>
        <w:t xml:space="preserve">"</w:t>
      </w:r>
      <w:r>
        <w:rPr>
          <w:b/>
          <w:color w:val="000000"/>
          <w:lang w:val="es-AR" w:eastAsia="es-AR" w:bidi="es-AR"/>
        </w:rPr>
        <w:t xml:space="preserve">BATALLANEZ JUAN MANUEL Y OTRO/A  C/ SAN CRISTOBAL SOCIEDAD MUTUAL DE SEGUROS GENERALES S/ CUMPLIMIENTO DE CONTRATOS CIVILES/COMERCIALES</w:t>
      </w:r>
      <w:r>
        <w:rPr>
          <w:b/>
          <w:lang w:val="es-AR" w:eastAsia="es-AR" w:bidi="es-AR"/>
        </w:rPr>
        <w:t xml:space="preserve">"</w:t>
      </w:r>
      <w:r>
        <w:rPr>
          <w:lang w:val="es-AR" w:eastAsia="es-AR" w:bidi="es-AR"/>
        </w:rPr>
        <w:t xml:space="preserve">, Expte. </w:t>
      </w:r>
      <w:r>
        <w:rPr>
          <w:color w:val="000000"/>
          <w:lang w:val="es-AR" w:eastAsia="es-AR" w:bidi="es-AR"/>
        </w:rPr>
        <w:t xml:space="preserve">89.087</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 lugar parcialmente a la demanda instaurada por la parte actora y condenó a la parte demandada a abonar a la misma la suma de Pesos Siete Millones Ochocientos Cincuenta Mil ($7.850.000), "</w:t>
      </w:r>
      <w:r>
        <w:rPr>
          <w:color w:val="000000"/>
          <w:lang w:val="es-AR" w:eastAsia="es-AR" w:bidi="es-AR"/>
        </w:rPr>
        <w:t xml:space="preserve">con menos saldo de premio y/o prenda de corresponder, valor que surge de la cláusula CG-DA 4.2 una vez cumplimentada la documentación de baja requerida en la cláusula CG-CO 3.1" </w:t>
      </w:r>
      <w:r>
        <w:rPr>
          <w:lang w:val="es-AR" w:eastAsia="es-AR" w:bidi="es-AR"/>
        </w:rPr>
        <w:t xml:space="preserve">y por otro lado, la suma de Pesos $1.000.000 - monto comprensivo del daño moral -, con más sus respectivos intereses calculados en la forma establecida en el considerando VII, a partir de la fecha de mora (06-04-2019) y hasta el momento de su efectivo pago. Aplicó las costas a la parte demandada ty difirió la regulación de honorarios de los letrados intervinientes y de los peritos, hasta que medie firme la respectiva liquidación de intereses y gastos.</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interpuesto por la parte actora (30-8-2025), concedido en relación (5-8-2025) y fundado el 11-8-2025 y por la parte demandada y citada en garantía (4-8-2025), concedido en relación (18-8-2025) y fundado el 21-8-2025. Los traslados fueron evacuados el 21-8-2025 por la parte demandada y el 29-8-2025 por la parte actora. Elevados los autos a esta Alzada con fecha 16-10-2025 llamamiento de autos, providencia, que firme a la fecha deja la causa en condiciones de ser fallada.</w:t>
      </w:r>
    </w:p>
    <w:p>
      <w:pPr>
        <w:pStyle w:val="[Normal]"/>
        <w:spacing w:line="360" w:lineRule="auto"/>
        <w:ind w:firstLine="1134"/>
        <w:jc w:val="both"/>
        <w:rPr>
          <w:lang w:val="es-AR" w:eastAsia="es-AR" w:bidi="es-AR"/>
        </w:rPr>
      </w:pPr>
      <w:r>
        <w:rPr>
          <w:b/>
          <w:lang w:val="es-AR" w:eastAsia="es-AR" w:bidi="es-AR"/>
        </w:rPr>
        <w:t xml:space="preserve">Agravios parte actora</w:t>
      </w:r>
      <w:r>
        <w:rPr>
          <w:lang w:val="es-AR" w:eastAsia="es-AR" w:bidi="es-AR"/>
        </w:rPr>
        <w:t xml:space="preserve">: Se duele contra la cuantificación dada al daño patrimonial y al daño moral , los intereses aplicados sobre los mismos, tachando de insuficientes los importes dados. Y la desestimación del daño punitivo.-</w:t>
      </w:r>
    </w:p>
    <w:p>
      <w:pPr>
        <w:pStyle w:val="[Normal]"/>
        <w:spacing w:line="360" w:lineRule="auto"/>
        <w:ind w:firstLine="1134"/>
        <w:jc w:val="both"/>
        <w:rPr>
          <w:lang w:val="es-AR" w:eastAsia="es-AR" w:bidi="es-AR"/>
        </w:rPr>
      </w:pPr>
      <w:r>
        <w:rPr>
          <w:lang w:val="es-AR" w:eastAsia="es-AR" w:bidi="es-AR"/>
        </w:rPr>
        <w:t xml:space="preserve">Dice que el aquo tomó el valor de mercado informado en fecha 7/08/24 de un automóvil de esas características fijándolo en $ 7.850.000 y que ello resulta contradictorio cuando señala que establece el valor actualizado cuando ya han transcurrido 10 meses desde la tasación, señalando que dicho modo de establecer ese daño resulta distorsivo, en tanto señala que en la actualidad un vehículo de marca Volkswagen modelo Crossfox 1,6, confortline FA año 2008 tiene un valor de mercado aproximado de $ 8.339.000 tomándose como referencia la cotización de la página web de mercado Libre SRL constando un valor en dólares de US&amp; 6.200 con la conversión del dólar oficial del Banco Nación de $ 1345 difundida el 7/08/2025.-Cita fallos de este Tribunal Leidi Causa 4925 y Sarmiento Causa 5279.-</w:t>
      </w:r>
    </w:p>
    <w:p>
      <w:pPr>
        <w:pStyle w:val="[Normal]"/>
        <w:spacing w:line="360" w:lineRule="auto"/>
        <w:ind w:firstLine="1134"/>
        <w:jc w:val="both"/>
        <w:rPr>
          <w:lang w:val="es-AR" w:eastAsia="es-AR" w:bidi="es-AR"/>
        </w:rPr>
      </w:pPr>
      <w:r>
        <w:rPr>
          <w:lang w:val="es-AR" w:eastAsia="es-AR" w:bidi="es-AR"/>
        </w:rPr>
        <w:t xml:space="preserve">Agrega que la cuantificación debe efectuarse sobre la base de un vehículo que tenía once años de antigüedad al día de la fecha.- Cfr Soldati.- </w:t>
      </w:r>
    </w:p>
    <w:p>
      <w:pPr>
        <w:pStyle w:val="[Normal]"/>
        <w:spacing w:line="360" w:lineRule="auto"/>
        <w:ind w:firstLine="1134"/>
        <w:jc w:val="both"/>
        <w:rPr>
          <w:lang w:val="es-AR" w:eastAsia="es-AR" w:bidi="es-AR"/>
        </w:rPr>
      </w:pPr>
      <w:r>
        <w:rPr>
          <w:lang w:val="es-AR" w:eastAsia="es-AR" w:bidi="es-AR"/>
        </w:rPr>
        <w:t xml:space="preserve">Respecto de los intereses pide que se fijen a tasa pura desde el momento del hecho (6/04/2019) hasta el momento que se practique una nueva determinación pericial y desde allí en adelante al tipo que cobra el Banco de la Pcia de Bs As en operaciones de descuento o sea tasa activa Cita Leidi.-Nicolai.</w:t>
      </w:r>
    </w:p>
    <w:p>
      <w:pPr>
        <w:pStyle w:val="[Normal]"/>
        <w:spacing w:line="360" w:lineRule="auto"/>
        <w:ind w:firstLine="1134"/>
        <w:jc w:val="both"/>
        <w:rPr>
          <w:lang w:val="es-AR" w:eastAsia="es-AR" w:bidi="es-AR"/>
        </w:rPr>
      </w:pPr>
      <w:r>
        <w:rPr>
          <w:lang w:val="es-AR" w:eastAsia="es-AR" w:bidi="es-AR"/>
        </w:rPr>
        <w:t xml:space="preserve">En lo que respecto al daño moral solicita se eleven los importes derivados del incumplimiento desplegado por la contraria.-</w:t>
      </w:r>
    </w:p>
    <w:p>
      <w:pPr>
        <w:pStyle w:val="[Normal]"/>
        <w:spacing w:line="360" w:lineRule="auto"/>
        <w:ind w:firstLine="1134"/>
        <w:jc w:val="both"/>
        <w:rPr>
          <w:lang w:val="es-AR" w:eastAsia="es-AR" w:bidi="es-AR"/>
        </w:rPr>
      </w:pPr>
      <w:r>
        <w:rPr>
          <w:lang w:val="es-AR" w:eastAsia="es-AR" w:bidi="es-AR"/>
        </w:rPr>
        <w:t xml:space="preserve">Se queja por ultimo de la desestimación del daño punitivo remiténdome al escrito electrónico para sus fundamentos.-</w:t>
      </w:r>
    </w:p>
    <w:p>
      <w:pPr>
        <w:pStyle w:val="[Normal]"/>
        <w:spacing w:line="360" w:lineRule="auto"/>
        <w:ind w:firstLine="1134"/>
        <w:jc w:val="both"/>
        <w:rPr>
          <w:lang w:val="es-AR" w:eastAsia="es-AR" w:bidi="es-AR"/>
        </w:rPr>
      </w:pPr>
      <w:r>
        <w:rPr>
          <w:b/>
          <w:lang w:val="es-AR" w:eastAsia="es-AR" w:bidi="es-AR"/>
        </w:rPr>
        <w:t xml:space="preserve">Agravios parte demandada</w:t>
      </w:r>
      <w:r>
        <w:rPr>
          <w:lang w:val="es-AR" w:eastAsia="es-AR" w:bidi="es-AR"/>
        </w:rPr>
        <w:t xml:space="preserve">: Achaca la responsabilidad a la parte actora que obstaculizó a su parte cumplir con el pago de la indemnización por destrucción total, tanto dice que no se desplegaron conductas tendientes a cumplir con la normativa vigente la clausula CG 3.1 que hace mención a la baja del vehículo siniestrado como cuestión previa al cumplimiento de la Claúsula CG-DA 4.2.-Se duele contra el daño moral dado y en el tercer punto y en forma subsidiaria plantea que se ordene a la actora dar de baja inmediata al vehículo siniestrado, bajo pena de sanción pecuniaria por cada día de retardo.- </w:t>
      </w:r>
    </w:p>
    <w:p>
      <w:pPr>
        <w:pStyle w:val="[Normal]"/>
        <w:spacing w:line="360" w:lineRule="auto"/>
        <w:ind w:firstLine="1134"/>
        <w:jc w:val="both"/>
        <w:rPr>
          <w:lang w:val="es-AR" w:eastAsia="es-AR" w:bidi="es-AR"/>
        </w:rPr>
      </w:pPr>
      <w:r>
        <w:rPr>
          <w:lang w:val="es-AR" w:eastAsia="es-AR" w:bidi="es-AR"/>
        </w:rPr>
        <w:t xml:space="preserve">Y por último ataca las costas señalando solicitando sean cargadas a la actora.-</w:t>
      </w:r>
    </w:p>
    <w:p>
      <w:pPr>
        <w:pStyle w:val="[Normal]"/>
        <w:spacing w:line="360" w:lineRule="auto"/>
        <w:ind w:firstLine="1134"/>
        <w:jc w:val="both"/>
        <w:rPr>
          <w:lang w:val="es-AR" w:eastAsia="es-AR" w:bidi="es-AR"/>
        </w:rPr>
      </w:pPr>
      <w:r>
        <w:rPr>
          <w:lang w:val="es-AR" w:eastAsia="es-AR" w:bidi="es-AR"/>
        </w:rPr>
        <w:t xml:space="preserve">Entrando a resolver la plataforma fáctica da cuenta de un reclamo motivado en un siniestro ocurrido el 6 de abril de 2019, aproximadamente a las 15.30 hs cuando el difunto padre de los actores Jorge Rubén Batallanez, ingresa al rodado marca Volkswagen modelo Crossfox 1,6 año 2008 dominio HGI207 y es interceptado por un malviviente a punta de arma blanca y a los golpes lo  hace bajar del vehículo, robándolo y dándose a la fuga, para luego colisionar en calles Mosconi entre Evaristo Carriego y Ricardo Rojas.- Producto del impacto los daños fueron de tal magnitud que determinaron la pérdida total del rodado.- </w:t>
      </w:r>
    </w:p>
    <w:p>
      <w:pPr>
        <w:pStyle w:val="[Normal]"/>
        <w:spacing w:line="360" w:lineRule="auto"/>
        <w:ind w:firstLine="1134"/>
        <w:jc w:val="both"/>
        <w:rPr>
          <w:lang w:val="es-AR" w:eastAsia="es-AR" w:bidi="es-AR"/>
        </w:rPr>
      </w:pPr>
      <w:r>
        <w:rPr>
          <w:lang w:val="es-AR" w:eastAsia="es-AR" w:bidi="es-AR"/>
        </w:rPr>
        <w:t xml:space="preserve">El vehículo se encontraba asegurado por San Cristóbal Sociedad Mutual de Seguros Generales conforme se desprende de la póliza 01-01-056261190/3 acompañada por ambas partes.- Y el riesgo cubierto abarcaba "responsabilidad civil hacia terceros, daños al vehículo por destrucción total por accidente, total o parcial incendio y robo/hurto total y parcial por robo/hurto-s franquicia.-</w:t>
      </w:r>
    </w:p>
    <w:p>
      <w:pPr>
        <w:pStyle w:val="[Normal]"/>
        <w:spacing w:line="360" w:lineRule="auto"/>
        <w:ind w:firstLine="1134"/>
        <w:jc w:val="both"/>
        <w:rPr>
          <w:lang w:val="es-AR" w:eastAsia="es-AR" w:bidi="es-AR"/>
        </w:rPr>
      </w:pPr>
      <w:r>
        <w:rPr>
          <w:lang w:val="es-AR" w:eastAsia="es-AR" w:bidi="es-AR"/>
        </w:rPr>
        <w:t xml:space="preserve">El juez rechaza la excepción de falta de legitimación opuesta por la aseguradora y decidió que si bien el incumplimiento de la falta de baja del automotor y el acompañamiento de la cotización en particular imposibilitó a la aseguradora precisar la magnitud de su obligación y la expuso a una incertidumbre en la suscripción de la indemnización, ello no habilitó la excepción planteada e hizo lugar al reclamo de la parte actora, fijando el resarcimiento  que hoy viene cuestionado.-</w:t>
      </w:r>
    </w:p>
    <w:p>
      <w:pPr>
        <w:pStyle w:val="[Normal]"/>
        <w:spacing w:line="360" w:lineRule="auto"/>
        <w:ind w:firstLine="1134"/>
        <w:jc w:val="both"/>
        <w:rPr>
          <w:lang w:val="es-AR" w:eastAsia="es-AR" w:bidi="es-AR"/>
        </w:rPr>
      </w:pPr>
      <w:r>
        <w:rPr>
          <w:lang w:val="es-AR" w:eastAsia="es-AR" w:bidi="es-AR"/>
        </w:rPr>
        <w:t xml:space="preserve">Con respecto a la desestimación del daño punitivo puesto en crisis por la actora adelanto desde ya que voy a confirmar lo decidido.-  "Este Tribunal ha sido cuidadoso al momento de aplicar el daño punitivo, puesto que si bien normativamente se encuentra receptado en el art. 52 bis de la LDC consiste en un adicional que puede concederse al perjudicado por encima de la indemnización de los daños que correspondieran, tiene un propósito sancionatorio y está inspirado en el common law.  La gravedad del hecho según nos enseña Picasso es tenida en cuenta por la norma para graduar la cuantía de la sanción, más no como condición para su procedencia, indicando que el juez no se encuentra constreñido más que por su buen sentido para que proceda la condena, debiendo tenerse en cuenta requisitos tales como: el incumplimiento del proveedor respecto de sus obligaciones legales con el consumidor, la solicitud de aplicación por el perjudicado, la graduación numérica teniendo en cuenta la gravedad del hecho, la independencia de esta pena con otras indemnizaciones, todo ello claramente expuesto por Picasso en Nuevas Categorías en la Ley de Defensa al Consumidor p. 133 citado por Jorge Mosset Iturraspe y Javier Wajntraub en Ley de Defensa al Consumidor Ley 24.240 y modificatorias Editorial Rubinzal-Culzoni".-</w:t>
      </w:r>
    </w:p>
    <w:p>
      <w:pPr>
        <w:pStyle w:val="[Normal]"/>
        <w:spacing w:line="360" w:lineRule="auto"/>
        <w:ind w:firstLine="1134"/>
        <w:jc w:val="both"/>
        <w:rPr>
          <w:lang w:val="es-AR" w:eastAsia="es-AR" w:bidi="es-AR"/>
        </w:rPr>
      </w:pPr>
      <w:r>
        <w:rPr>
          <w:lang w:val="es-AR" w:eastAsia="es-AR" w:bidi="es-AR"/>
        </w:rPr>
        <w:t xml:space="preserve">Traigo también aquí un precedente de este Tribunal en Causa 3703/2019 con el primer voto de mi distinguido colega Dr. Roberto Degleue quien señalara conceptos que aquí voy a aplicar: </w:t>
      </w:r>
    </w:p>
    <w:p>
      <w:pPr>
        <w:pStyle w:val="[Normal]"/>
        <w:spacing w:line="360" w:lineRule="auto"/>
        <w:ind w:firstLine="1134"/>
        <w:jc w:val="both"/>
        <w:rPr>
          <w:lang w:val="es-AR" w:eastAsia="es-AR" w:bidi="es-AR"/>
        </w:rPr>
      </w:pPr>
      <w:r>
        <w:rPr>
          <w:lang w:val="es-AR" w:eastAsia="es-AR" w:bidi="es-AR"/>
        </w:rPr>
        <w:t xml:space="preserve">"Cabe tener en cuenta que: "El instituto del daño punitivo abastece tres funciones: I) sancionar al causante de un daño inadmisible; II) hacer desaparecer los beneficios injustamente obtenidos provenientes de la actividad dañosa, III) prevenir o evitar el acaecimiento de hechos lesivos similares al que mereciera la punición (CC0203 LP 124158 RSD-229-18 S 25/10/2018 - Carátula: Chacon Damián Esteban c/ Plan Ovalo S.A. de ahorro para fines determinados y otros s/ Daños y Perj. incump. contractual (exc. estado) - sumario Juba:B356893). Al respecto, en las Jornadas Nacionales de Derecho Civil realizadas en la ciudad de Santa Fe en septiembre de este año, la Comisión 4 sobre "Daño Punitivo" concluyó por despacho unánime que: "Los daños punitivos tienen finalidad preventiva, disuasoria y sancionatoria".-</w:t>
      </w:r>
    </w:p>
    <w:p>
      <w:pPr>
        <w:pStyle w:val="[Normal]"/>
        <w:spacing w:line="360" w:lineRule="auto"/>
        <w:ind w:firstLine="1134"/>
        <w:jc w:val="both"/>
        <w:rPr>
          <w:lang w:val="es-AR" w:eastAsia="es-AR" w:bidi="es-AR"/>
        </w:rPr>
      </w:pPr>
      <w:r>
        <w:rPr>
          <w:lang w:val="es-AR" w:eastAsia="es-AR" w:bidi="es-AR"/>
        </w:rPr>
        <w:t xml:space="preserve">No advierto aquí configurados ninguno de los supuestos con entidad suficiente  que generaría la obligación de responder por una multa civil; lo que debe distinguirse de la debida defensa en juicio realizada por la entidad aseguradora en este proceso y que no conlleva sin más a la sanción pedida por la actora.- De las constancias de la causa y tal como fuera recibido por el aquo, la entidad aseguradora supeditó su cumplimiento a una condición suspensiva cual fue denunciar la destrucción total del rodado.- </w:t>
      </w:r>
    </w:p>
    <w:p>
      <w:pPr>
        <w:pStyle w:val="[Normal]"/>
        <w:spacing w:line="360" w:lineRule="auto"/>
        <w:ind w:firstLine="1134"/>
        <w:jc w:val="both"/>
        <w:rPr>
          <w:lang w:val="es-AR" w:eastAsia="es-AR" w:bidi="es-AR"/>
        </w:rPr>
      </w:pPr>
      <w:r>
        <w:rPr>
          <w:lang w:val="es-AR" w:eastAsia="es-AR" w:bidi="es-AR"/>
        </w:rPr>
        <w:t xml:space="preserve">II.- En lo concerniente al rubro daño patrimonial, la parte actora se agravió por la incorrecta determinación judicial del daño patrimonial, por cuanto - a su entender- el mismo debió haber sido fijado a valor actual de mercado y no sobre la base de un valor histórico (como lo hizo el juez de grado al haber basado su estimación en la tasación allegada en fecha 16/09/2024.</w:t>
      </w:r>
    </w:p>
    <w:p>
      <w:pPr>
        <w:pStyle w:val="[Normal]"/>
        <w:spacing w:line="360" w:lineRule="auto"/>
        <w:ind w:firstLine="1134"/>
        <w:jc w:val="both"/>
        <w:rPr>
          <w:lang w:val="es-AR" w:eastAsia="es-AR" w:bidi="es-AR"/>
        </w:rPr>
      </w:pPr>
      <w:r>
        <w:rPr>
          <w:lang w:val="es-AR" w:eastAsia="es-AR" w:bidi="es-AR"/>
        </w:rPr>
        <w:t xml:space="preserve">Sobre esta cuestión, el criterio de esta Alzada es conteste con la necesidad de articular mecanismos para que la determinación del daño se practique sobre valores actualizados. </w:t>
      </w:r>
    </w:p>
    <w:p>
      <w:pPr>
        <w:pStyle w:val="[Normal]"/>
        <w:spacing w:line="360" w:lineRule="auto"/>
        <w:ind w:firstLine="1134"/>
        <w:jc w:val="both"/>
        <w:rPr>
          <w:lang w:val="es-AR" w:eastAsia="es-AR" w:bidi="es-AR"/>
        </w:rPr>
      </w:pPr>
      <w:r>
        <w:rPr>
          <w:lang w:val="es-AR" w:eastAsia="es-AR" w:bidi="es-AR"/>
        </w:rPr>
        <w:t xml:space="preserve">El criterio referido fue instituido por este Tribunal en la causa "Leidi" en la que resolvió que correspondía cuantificar la indemnización por destrucción total de vehículo en virtud del contrato celebrado teniendo en cuenta el valor actualizado del bien objeto de la cobertura. Al respecto, sostuvo la Alzada pergaminense -entre otros tantos argumentos que se esgrimen en el fallo y a los cuales remitimos por razones de brevedad expositiva- que: "(...) la convergencia conjunta y armónica de los argumentos expuestos -naturaleza jurídica de la deuda de valor (art. 772 del C.C.), efectos de la mora del deudor (art. 886 del C.C.), principio de reparación plena (art. 1740 del C.C.), las proyecciones del principio de buena fe (art. 9 del C.C.), la función indemnizatoria y protectoria del derecho del seguro (art. 3 de la ley 24.240 y art. 1 de la ley 17.418-, las consecuencias económicas distorsivas producidas por el proceso inflacionario en los últimos tres años en tanto hecho público y notorio (art. 384 del CPCCBA, el control de abusividad de las cláusulas integrativas de contratos de consumo (art. 37 de la ley 24.240), los lineamientos generales de la doctrina legal de la SCBA en materia de determinación de deudas de valor- establece la necesidad de acoger el agravio vertido por el apelante y determinar el rubro resarcitorio reclamado sobre la base del valor actual del automóvil y no sobre la base de la suma asegurada como importe nominal e histórico" (Cámara de Apelaciones en lo Civil y Comercial de Pergamino, causa N° 4925-23    caratulada "Leidi Fátima Gisela c/ Cooperación Mutual Patronal S.M.S.G.  s/ daños y perj. incump. contractual (exc. estado)" , 19/8/23). </w:t>
      </w:r>
    </w:p>
    <w:p>
      <w:pPr>
        <w:pStyle w:val="[Normal]"/>
        <w:spacing w:line="360" w:lineRule="auto"/>
        <w:ind w:firstLine="1134"/>
        <w:jc w:val="both"/>
        <w:rPr>
          <w:lang w:val="es-AR" w:eastAsia="es-AR" w:bidi="es-AR"/>
        </w:rPr>
      </w:pPr>
      <w:r>
        <w:rPr>
          <w:lang w:val="es-AR" w:eastAsia="es-AR" w:bidi="es-AR"/>
        </w:rPr>
        <w:t xml:space="preserve">Es cierto que en la especie, el Juez de grado no ha cifrado la cuantificación del rubro en función del importe nominal e histórico que surge de la cobertura contratada, sino que lo ha modulado a la luz de las tasaciones efectuadas en un momento temporal próximo a sentencia (16/9/2024). Y, en tal sentido, podría sostenerse que su proceder resolutivo no acusa un grave desfasaje.</w:t>
      </w:r>
    </w:p>
    <w:p>
      <w:pPr>
        <w:pStyle w:val="[Normal]"/>
        <w:spacing w:line="360" w:lineRule="auto"/>
        <w:ind w:firstLine="1134"/>
        <w:jc w:val="both"/>
        <w:rPr>
          <w:lang w:val="es-AR" w:eastAsia="es-AR" w:bidi="es-AR"/>
        </w:rPr>
      </w:pPr>
      <w:r>
        <w:rPr>
          <w:lang w:val="es-AR" w:eastAsia="es-AR" w:bidi="es-AR"/>
        </w:rPr>
        <w:t xml:space="preserve">No obstante, entiendo que en el presente caso existe la posibilidad de arbitrar mecanismos que aseguren la determinación cuantitativa del daño resarcible sobre la base de valores más actualizados y acordes a la fecha del efectivo pago.  </w:t>
      </w:r>
    </w:p>
    <w:p>
      <w:pPr>
        <w:pStyle w:val="[Normal]"/>
        <w:spacing w:line="360" w:lineRule="auto"/>
        <w:ind w:firstLine="1134"/>
        <w:jc w:val="both"/>
        <w:rPr>
          <w:lang w:val="es-AR" w:eastAsia="es-AR" w:bidi="es-AR"/>
        </w:rPr>
      </w:pPr>
      <w:r>
        <w:rPr>
          <w:lang w:val="es-AR" w:eastAsia="es-AR" w:bidi="es-AR"/>
        </w:rPr>
        <w:t xml:space="preserve">En un reciente pronunciamiento, me he expedido en sintonía con los fallos de la SCBA en el sentido de que la indemnización debe ser la mas cercana al valor real del bien ante una situación en la que el importe resarcitorio no alcanzaba para la adquisición de un vehículo como el dañado en el hecho (Cámara de Apelaciones en lo civil y Comercial de Pergamino, causa n° 5225-24,   "Bourda, Débora Angela y otro c/ Lumbreras SA y otro s/ daños y perjuicios autom. c/les. o muerte (exc.estado)", 6/8/2024).</w:t>
      </w:r>
    </w:p>
    <w:p>
      <w:pPr>
        <w:pStyle w:val="[Normal]"/>
        <w:spacing w:line="360" w:lineRule="auto"/>
        <w:ind w:firstLine="1134"/>
        <w:jc w:val="both"/>
        <w:rPr>
          <w:lang w:val="es-AR" w:eastAsia="es-AR" w:bidi="es-AR"/>
        </w:rPr>
      </w:pPr>
      <w:r>
        <w:rPr>
          <w:lang w:val="es-AR" w:eastAsia="es-AR" w:bidi="es-AR"/>
        </w:rPr>
        <w:t xml:space="preserve">En consonancia con la mentada directriz, propondré al acuerdo que el rubro resarcitorio correspondiente al valor de reposición del vehículo por destrucción total sea admitido condenando a la demandada a abonar a la actora el valor de mercado actualizado correspondiente a las características y modelo del automotor en cuestión, a cuyo fin -una vez que los autos bajen a la instancia de origen- el perito interviniente en la causa   deberá expedirse en la etapa de liquidación y determinar el valor de mercado del rodado de referencia conforme cotización vigente al tiempo de realizar dicha tarea. Y será en esta medida que admitiré el agravio planteado por el actor apelante.</w:t>
      </w:r>
    </w:p>
    <w:p>
      <w:pPr>
        <w:pStyle w:val="[Normal]"/>
        <w:spacing w:line="360" w:lineRule="auto"/>
        <w:ind w:firstLine="1134"/>
        <w:jc w:val="both"/>
        <w:rPr>
          <w:lang w:val="es-AR" w:eastAsia="es-AR" w:bidi="es-AR"/>
        </w:rPr>
      </w:pPr>
      <w:r>
        <w:rPr>
          <w:lang w:val="es-AR" w:eastAsia="es-AR" w:bidi="es-AR"/>
        </w:rPr>
        <w:t xml:space="preserve">Este Tribunal, como tantos otros  de la provincia (ver vgr. Cámara de Apelaciones en lo Civil y Comercial de Mar del Plata, causa 175944, Sottile David c/ Martinez Rodrigo y otro/a s/ daños y perj.autom. c/les. o muerte (exc.estado), 29/6/23), ha seguido el criterio de la Suprema Corte de la Provincia de Buenos Aires conforme el cual en juicios de daños y perjuicios los jueces se hallan facultados para fijar el quantum indemnizatorio tanto a la fecha del hecho como al momento de dictar sentencia y aún diferirlo a las resultas del procedimiento que considere pertinente -art. 165, C.P.C.C.-, todo a fin de lograr una mejor reparación del daño causado. 	</w:t>
      </w:r>
    </w:p>
    <w:p>
      <w:pPr>
        <w:pStyle w:val="[Normal]"/>
        <w:spacing w:line="360" w:lineRule="auto"/>
        <w:ind w:firstLine="1134"/>
        <w:jc w:val="both"/>
        <w:rPr>
          <w:lang w:val="es-AR" w:eastAsia="es-AR" w:bidi="es-AR"/>
        </w:rPr>
      </w:pPr>
      <w:r>
        <w:rPr>
          <w:lang w:val="es-AR" w:eastAsia="es-AR" w:bidi="es-AR"/>
        </w:rPr>
        <w:t xml:space="preserve">Esta modalidad parte de la premisa de que los reclamos resarcitorios versan sobre deudas de valor, por lo que aquella estimación jurisprudencial realizada en un momento posterior al hecho dañoso permite determinar el contenido monetario de una cierta utilidad o valor que es objeto de controversia (SCBA, entre muchísimos otros, véase c. 101.107 -“Arbizu...”- del 23/03/2010 c. 117735 -"Bi Launek"- del 24/09/2014, c. 117501 -"Martinez"- del 04/03/2015, c. 119449 -"Córdoba..."- del 15/07/2015, c. 102963 -"Sabalete..."- del 07/09/2016, c. 120192 -"Scandizzo de Prieto"- del 07/09/2016).</w:t>
      </w:r>
    </w:p>
    <w:p>
      <w:pPr>
        <w:pStyle w:val="[Normal]"/>
        <w:spacing w:line="360" w:lineRule="auto"/>
        <w:ind w:firstLine="1134"/>
        <w:jc w:val="both"/>
        <w:rPr>
          <w:lang w:val="es-AR" w:eastAsia="es-AR" w:bidi="es-AR"/>
        </w:rPr>
      </w:pPr>
      <w:r>
        <w:rPr>
          <w:lang w:val="es-AR" w:eastAsia="es-AR" w:bidi="es-AR"/>
        </w:rPr>
        <w:t xml:space="preserve">En suma, a la luz de la doctrina legal de la Casación bonaerense, los jueces están habilitados para cuantificar los daños al momento de sentenciar, pero no necesariamente deben fijar allí mismo el quantum del resarcimiento. Pueden postergar la conversión —y la correlativa transformación de la obligación de valor a una dineraria— para una etapa ejecutoria posterior. Esta última modalidad permite a los jueces separar temporalmente la cuantificación de la indemnización (esto es, la decisión judicial de evaluar la extensión del perjuicio y fijar el valor que compone el objeto de la obligación) de su conversión a una suma dineraria (que, como se vio, es la oportunidad en la que se traduce el valor escogido a una determinada cantidad de unidades monetarias considerando, como el propio art. 772 del CCyC lo exige, parámetros económicos actualizados).</w:t>
      </w:r>
    </w:p>
    <w:p>
      <w:pPr>
        <w:pStyle w:val="[Normal]"/>
        <w:spacing w:line="360" w:lineRule="auto"/>
        <w:ind w:firstLine="1134"/>
        <w:jc w:val="both"/>
        <w:rPr>
          <w:lang w:val="es-AR" w:eastAsia="es-AR" w:bidi="es-AR"/>
        </w:rPr>
      </w:pPr>
      <w:r>
        <w:rPr>
          <w:lang w:val="es-AR" w:eastAsia="es-AR" w:bidi="es-AR"/>
        </w:rPr>
        <w:t xml:space="preserve">Respecto de los intereses se aplicará una tasa pura del 6% desde la fecha del hecho  hasta la fecha de la determinación pericial dispuesta en el párrafo anterior. Y de allí en adelante la tasa correspondiente al tipo que cobra el Banco de la Provincia de Buenos Aires en operaciones de descuento de documentos comerciales en préstamos ordinarios -tasa activa-, aplicable en los distintos períodos. (Art. 886 del Cód. Civil y Comercial) hasta el efectivo pago.-</w:t>
      </w:r>
    </w:p>
    <w:p>
      <w:pPr>
        <w:pStyle w:val="[Normal]"/>
        <w:spacing w:line="360" w:lineRule="auto"/>
        <w:ind w:firstLine="1134"/>
        <w:jc w:val="both"/>
        <w:rPr>
          <w:lang w:val="es-AR" w:eastAsia="es-AR" w:bidi="es-AR"/>
        </w:rPr>
      </w:pPr>
      <w:r>
        <w:rPr>
          <w:lang w:val="es-AR" w:eastAsia="es-AR" w:bidi="es-AR"/>
        </w:rPr>
        <w:t xml:space="preserve">Sobre el ajuste realizado en relación a la tasa de interés aplicable aquí propuesta, es menester señalar que cuando ello se perfila como una consecuencia del sistema de cálculo aplicado, procede la modificación oficiosa de los accesorios aún cuando no haya mediado agravio expreso en relación al punto de referencia. Así lo ha dicho la Cámara de Azul en la causa "Montes": "La modificación efectuada de oficio en segunda instancia respecto del modo de cuantificar los rubros indemnizatorios cuestionados (a valores actuales), se erige para las partes en un hecho evidentemente posterior a la sentencia de primera instancia, que permite actuar con amplitud la facultad de Alzada de "resolver sobre los intereses" (art. 272 CPCC), aún cuando no haya mediado -ni podía mediar- argumento concreto de parte. No se vulnera con ello el principio de congruencia, pues ningún agravio podía introducir la parte accionada con respecto a una tasa (bancaria) que resultaba acorde al criterio de cuantificación seguido en la anterior instancia (cálculo a valores históricos), y que recién se torna inadecuada de modo sobreviniente, como consecuencia del sistema de cálculo (a valores actuales), efectuado en consonancia con el principio de la reparación integral que surge del art. 1740 CCCN" (Cámara de Apelaciones en lo Civil y Comercial de Azul, Sala II, "Cesar Andres y otros C/ Martin Julieta Macarena y otros S/Daños y Perj.Autom. C/Les. O Muerte (Exc.Estado)"", sentencia de fecha  23/04/2019).</w:t>
      </w:r>
    </w:p>
    <w:p>
      <w:pPr>
        <w:pStyle w:val="[Normal]"/>
        <w:spacing w:line="360" w:lineRule="auto"/>
        <w:ind w:firstLine="1134"/>
        <w:jc w:val="both"/>
        <w:rPr>
          <w:lang w:val="es-AR" w:eastAsia="es-AR" w:bidi="es-AR"/>
        </w:rPr>
      </w:pPr>
      <w:r>
        <w:rPr>
          <w:lang w:val="es-AR" w:eastAsia="es-AR" w:bidi="es-AR"/>
        </w:rPr>
        <w:t xml:space="preserve">Y en lo que refiere específicamente a la aplicación de la tasa activa por el tramo temporal posterior a la presente sentencia, es menester acotar que si bien es cierto que en la causa "Ale" dictada por este Tribunal ("ALE, María del Luján C/ COOPERACIÓN MUTUAL PATRONAL SMSG S/ DAÑOS Y PERJUICIOS", Expte. 4502-22), esta Cámara se ha hecho eco de la doctrina legal de la Suprema Corte provincial en cuanto sostiene (a partir de las causas "Ginossi" y "Ponce", ambas con sentencia del 21-X-2009) que los intereses moratorios deben ser calculados a la tasa que pague el Banco de la Provincia de Buenos Aires en sus depósitos a treinta días, vigente al inicio de cada uno de los períodos comprendidos y, por aquellos días que no alcance a cubrir el lapso señalado, según lo que resulte de prorratear diariamente dicha tasa, entiendo que ello no resulta aplicable a la especie, por cuanto lo que está en discusión aquí es el valor de reposición del rodado, lo que implica que de haber recibido su acreencia en término el actor no la hubiera destinado a una inversión que le generara renta (como sí resulta razonablemente presumible en las indemnizaciones de daños y perjuicios) sino a la compra de otro automóvil que reemplazara al que era objeto del seguro.  De ello se sigue que el actor no se vio privado de invertir sino de adquirir. Y siendo que el fundamento de la aplicación de la tasa pasiva tenido en cuenta por la Corte provincial radica en la presunción de inversión y no de consumo que se da en tales casos, corresponde dejar de lado la solución aplicada en los precedentes de referencia por tratarse aquí de un supuesto fáctico diferente en el que no se verifica el fundamento tenido en cuenta por el Alto Tribunal para proceder del modo expuesto.  En consecuencia, corresponde que al actor le sean abonados los intereses de acuerdo al costo financiero de esa adquisición.-</w:t>
      </w:r>
    </w:p>
    <w:p>
      <w:pPr>
        <w:pStyle w:val="[Normal]"/>
        <w:spacing w:line="360" w:lineRule="auto"/>
        <w:ind w:firstLine="1134"/>
        <w:jc w:val="both"/>
        <w:rPr>
          <w:lang w:val="es-AR" w:eastAsia="es-AR" w:bidi="es-AR"/>
        </w:rPr>
      </w:pPr>
      <w:r>
        <w:rPr>
          <w:lang w:val="es-AR" w:eastAsia="es-AR" w:bidi="es-AR"/>
        </w:rPr>
        <w:t xml:space="preserve">Con este temperamento, se ha pronunciado la Cámara de Apelaciones en lo Civil y Comercial de San Martín al sostener que: "En orden a la tasa aplicable, la Suprema Corte provincial, cuando no exista convención ni disposición legal que determine el interés moratorio y éste deba ser fijado judicialmente, como aquí ocurre, continúa sosteniendo como doctrina legal que corresponde aplicar la tasa bancaria pasiva (SCJBA, Ac. 2078 en causa C.101774, "Ponce c/ Sangalli" del 21-10-09).  El fundamento que da sostén a esta doctrina es que talea accesorios "tienen por objeto resarcir el lucro que el acreedor hubiera obtenido de haber podido realizar una inversión que le generara una renta" (voto de la Dra. Kogan), para cuya determinación "no debe perderse de vista que necesariamente habrá que tener en cuenta cual podría haber sido la inversión ordinaria al alcance del acreedor da haber recibido la acreencia a término. Desde este ángulo, es indudable que cualquier institución bancaria le hubiera abonado única y exclusivamente la tasa pasiva vigente al momento de la inversión o sus sucesivas renovaciones (siendo) estos conceptos lo que tuvo en cuenta esta Suprema Corte para arribar a la conclusión que da forma a la doctrina legal vigente" (voto del Dr. Pettigiani). Entiendo que no es esta la situación fáctica de autos.  Lo que aquí se paga es el valor de reposición del rodado, lo cual implica que de haber recibido su acreencia en término el actor no la hubiera destinado a una inversión que le generara renta sino a la compra de otro automóvil que reemplazara al que era objeto del seguro y le fue robado, para lo cual si acudió a un banco fue para pedirle dinero prestado y no para invertirlo. Su daño, entonces, está dado por el interés que debió pagar por ese dinero, que no hubiera necesitado pedir si la aseguradora le hubiera pagado en tiempo propio, siendo por tanto ese daño consecuencia inmediata y necesaria del incumplimiento de la demandada (arts. 519 y 520 del Cód. Civ.). Entiendo, en función de ello, que en el caso particular del sublite corresponde acoger este agravio y mandar pagar la tasa activa que se pide. Independientemente de que haya pedido o no ese préstamo o haya adquirido o no otro automóvil en reemplazo del asegurado, de acuerdo a la finalidad del contrato de seguro conocida por ambas partes, el pago del valor del vehículo era para adquirir otro que lo sustituyera, con lo cual el actor no se vio privado de invertir sino de adquirir, debiendo serle abonados los intereses de acuerdo al costo financiero de esa adquisición" (CC0002 SM 62342 RSD-35-10 S, "Brodl, Gabriel Ernesto c/Agrosalta Cooperativa de Seguros Limitada s/Daños y Perjuicios", 16/03/2010).</w:t>
      </w:r>
    </w:p>
    <w:p>
      <w:pPr>
        <w:pStyle w:val="[Normal]"/>
        <w:spacing w:line="360" w:lineRule="auto"/>
        <w:ind w:firstLine="1134"/>
        <w:jc w:val="both"/>
        <w:rPr>
          <w:lang w:val="es-AR" w:eastAsia="es-AR" w:bidi="es-AR"/>
        </w:rPr>
      </w:pPr>
      <w:r>
        <w:rPr>
          <w:lang w:val="es-AR" w:eastAsia="es-AR" w:bidi="es-AR"/>
        </w:rPr>
        <w:t xml:space="preserve">Respecto del daño moral cuestionado coincido con el razonamiento y el importe fijado por el aquo (art. 165 del CPCC) quien valora en dicho rubro la adecuada reparación de las expectativas frustradas y las vicisitudes transitadas para lograr el cumplimiento de la prestación adeudada, fundamentos que no han sido rebatidos en forma suficiente por el demandado, siendo más una expresión de disgusto contra lo que le es adverso que una crítica suficiente exigida por el ritual.-</w:t>
      </w:r>
    </w:p>
    <w:p>
      <w:pPr>
        <w:pStyle w:val="[Normal]"/>
        <w:spacing w:line="360" w:lineRule="auto"/>
        <w:ind w:firstLine="1134"/>
        <w:jc w:val="both"/>
        <w:rPr>
          <w:lang w:val="es-AR" w:eastAsia="es-AR" w:bidi="es-AR"/>
        </w:rPr>
      </w:pPr>
      <w:r>
        <w:rPr>
          <w:lang w:val="es-AR" w:eastAsia="es-AR" w:bidi="es-AR"/>
        </w:rPr>
        <w:t xml:space="preserve">4.-La exigencia de la baja registral del automotor es coherente con las previsiones de la Ley 25.761 sobre Desarmado de automotores y venta de autopartes y su dec. reglamentario 744/04. Así pues es evidente que la télesis de la norma es la de responder a la necesidad de desarrollar políticas de Estado tendientes a enfrentar las prácticas delictivas vinculadas con la sustracción de automotores, que últimamente han afectado gravemente la seguridad de las personas (v. considerandos del dec. 744/04). En consonancia con el art. 5° del dec. 744/2004, reglamentario de la Ley 25.761. Este tema fue el núcleo central de la contienda, introducido por el demandado bajo la forma de una defensa de falta de legitimación pasiva, otrora rechazada por el aquo y confirmada desde aquí en cuanto a la obligación de responder de la aseguradora.-</w:t>
      </w:r>
    </w:p>
    <w:p>
      <w:pPr>
        <w:pStyle w:val="[Normal]"/>
        <w:spacing w:line="360" w:lineRule="auto"/>
        <w:ind w:firstLine="1134"/>
        <w:jc w:val="both"/>
        <w:rPr>
          <w:lang w:val="es-AR" w:eastAsia="es-AR" w:bidi="es-AR"/>
        </w:rPr>
      </w:pPr>
      <w:r>
        <w:rPr>
          <w:lang w:val="es-AR" w:eastAsia="es-AR" w:bidi="es-AR"/>
        </w:rPr>
        <w:t xml:space="preserve">La petición introducida en los agravios de intimar al asegurado a la denuncia del siniestro y aplicación de una multa por cada día de retardo es una postulación que no ha formado parte del contradictorio y como tal no puede ser abordado ahora en virtud del principio "Tantum devolutum quantum apellatum" que implica que el tribunal de apelación (alzada) solo puede conocer y resolver sobre lo que fue específicamente impugnado (apelado) por las partes en el recurso, limitando su competencia a esos puntos concretos y evitando pronunciarse sobre lo que la primera instancia ya resolvió y no fue recurrido, garantizando así la congruencia recursal y el debido proceso. Además se advierte que el decisorio de primera instancia contiene la directiva en la parte resolutiva señalando expresamente  "una vez cumplimentada la documentación de baja requerida en la cláusula CG-CO 3.1" textual.- </w:t>
      </w:r>
    </w:p>
    <w:p>
      <w:pPr>
        <w:pStyle w:val="[Normal]"/>
        <w:spacing w:line="360" w:lineRule="auto"/>
        <w:ind w:firstLine="1134"/>
        <w:jc w:val="both"/>
        <w:rPr>
          <w:lang w:val="es-AR" w:eastAsia="es-AR" w:bidi="es-AR"/>
        </w:rPr>
      </w:pPr>
      <w:r>
        <w:rPr>
          <w:lang w:val="es-AR" w:eastAsia="es-AR" w:bidi="es-AR"/>
        </w:rPr>
        <w:t xml:space="preserve">Las costas que vienen apeladas han de seguir el principio general de la derrota previsto en el art. 68 del CPCC y su doctrina, estando fuera de toda duda que han de serle impuestas a la parte demandada, teniendo en cuenta en progreso general de la acción de la parte actora.-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 la parte actora en punto al daño patrimonial, estableciendo que el mismo se determinará conforme las pautas explicadas en los considerandos del presente. Confirmando en todo lo demás la sentencia apelada.-</w:t>
      </w:r>
    </w:p>
    <w:p>
      <w:pPr>
        <w:pStyle w:val="[Normal]"/>
        <w:spacing w:line="360" w:lineRule="auto"/>
        <w:ind w:firstLine="1134"/>
        <w:jc w:val="both"/>
        <w:rPr>
          <w:lang w:val="es-AR" w:eastAsia="es-AR" w:bidi="es-AR"/>
        </w:rPr>
      </w:pPr>
      <w:r>
        <w:rPr>
          <w:lang w:val="es-AR" w:eastAsia="es-AR" w:bidi="es-AR"/>
        </w:rPr>
        <w:t xml:space="preserve">Rechazar el recurso de apelación de la parte demandada.-</w:t>
      </w:r>
    </w:p>
    <w:p>
      <w:pPr>
        <w:pStyle w:val="[Normal]"/>
        <w:spacing w:line="360" w:lineRule="auto"/>
        <w:ind w:firstLine="1134"/>
        <w:jc w:val="both"/>
        <w:rPr>
          <w:lang w:val="es-AR" w:eastAsia="es-AR" w:bidi="es-AR"/>
        </w:rPr>
      </w:pPr>
      <w:r>
        <w:rPr>
          <w:lang w:val="es-AR" w:eastAsia="es-AR" w:bidi="es-AR"/>
        </w:rPr>
        <w:t xml:space="preserve">Costas de primera y segunda instancia a la parte demandada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los letrados hasta tanto obre liquidación firme (art. 31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 apelación de la parte actora en punto al daño patrimonial, estableciendo que el mismo se determinará conforme las pautas explicadas en los considerandos del presente. Confirmando en todo lo demás la sentencia apelada.-</w:t>
      </w:r>
    </w:p>
    <w:p>
      <w:pPr>
        <w:pStyle w:val="[Normal]"/>
        <w:spacing w:line="360" w:lineRule="auto"/>
        <w:ind w:firstLine="1134"/>
        <w:jc w:val="both"/>
        <w:rPr>
          <w:lang w:val="es-AR" w:eastAsia="es-AR" w:bidi="es-AR"/>
        </w:rPr>
      </w:pPr>
      <w:r>
        <w:rPr>
          <w:lang w:val="es-AR" w:eastAsia="es-AR" w:bidi="es-AR"/>
        </w:rPr>
        <w:t xml:space="preserve">Rechazar el recurso de apelación de la parte demandada.-</w:t>
      </w:r>
    </w:p>
    <w:p>
      <w:pPr>
        <w:pStyle w:val="[Normal]"/>
        <w:spacing w:line="360" w:lineRule="auto"/>
        <w:ind w:firstLine="1134"/>
        <w:jc w:val="both"/>
        <w:rPr>
          <w:lang w:val="es-AR" w:eastAsia="es-AR" w:bidi="es-AR"/>
        </w:rPr>
      </w:pPr>
      <w:r>
        <w:rPr>
          <w:lang w:val="es-AR" w:eastAsia="es-AR" w:bidi="es-AR"/>
        </w:rPr>
        <w:t xml:space="preserve">Costas de primera y segunda instancia a la parte demandada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los letrados hasta tanto obre liquidación firme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20279377223@NOTIFICACIONES.SCBA.GOV.AR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20267619582@NOTIFICACIONES.SCBA.GOV.AR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16/12/2025 10:58:26 -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16/12/2025 10:59:25 -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16/12/2025 11:46:29 -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‰8Y")è&amp;iqc7Š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245702090006738167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16/12/2025 11:46:41 hs. bajo el número RS-184-2025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Default">
    <w:name w:val="Default"/>
    <w:basedOn w:val="[Normal]"/>
    <w:next w:val="Default"/>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color w:val="000000"/>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