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3640-19</w:t>
      </w:r>
      <w:r>
        <w:rPr>
          <w:lang w:val="es-AR" w:eastAsia="es-AR" w:bidi="es-AR"/>
        </w:rPr>
        <w:t xml:space="preserve"> caratulada </w:t>
      </w:r>
      <w:r>
        <w:rPr>
          <w:b/>
          <w:lang w:val="es-AR" w:eastAsia="es-AR" w:bidi="es-AR"/>
        </w:rPr>
        <w:t xml:space="preserve">"</w:t>
      </w:r>
      <w:r>
        <w:rPr>
          <w:b/>
          <w:color w:val="000000"/>
          <w:lang w:val="es-AR" w:eastAsia="es-AR" w:bidi="es-AR"/>
        </w:rPr>
        <w:t xml:space="preserve">CASTRO SANDRA ALEJANDRA MICAELA C/ CARRION VICTORIO LUIS Y OTROS S/ DAÑOS Y PERJ.AUTOM. C/LES. O MUERTE (EXC.ESTADO)</w:t>
      </w:r>
      <w:r>
        <w:rPr>
          <w:b/>
          <w:lang w:val="es-AR" w:eastAsia="es-AR" w:bidi="es-AR"/>
        </w:rPr>
        <w:t xml:space="preserve">"</w:t>
      </w:r>
      <w:r>
        <w:rPr>
          <w:lang w:val="es-AR" w:eastAsia="es-AR" w:bidi="es-AR"/>
        </w:rPr>
        <w:t xml:space="preserve">, Expte. N° 59.232 del Juzgado en lo Civil y Comercial N° 3,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 	El señor Juez de primera instancia, en lo que aquí interesa destacar, tomando como base el monto del acuerdo denunciado reguló los honorarios de la mediadora interviniente Daniela Zabalúa</w:t>
      </w:r>
      <w:r>
        <w:rPr>
          <w:rStyle w:val="STRONG"/>
          <w:b w:val="off"/>
          <w:lang w:val="es-AR" w:eastAsia="es-AR" w:bidi="es-AR"/>
        </w:rPr>
        <w:t xml:space="preserve"> en la suma de 102 jus de unidad arancelaria.</w:t>
      </w:r>
    </w:p>
    <w:p>
      <w:pPr>
        <w:pStyle w:val="[Normal]"/>
        <w:spacing w:line="360" w:lineRule="auto"/>
        <w:ind w:firstLine="1134"/>
        <w:jc w:val="both"/>
        <w:rPr>
          <w:lang w:val="es-AR" w:eastAsia="es-AR" w:bidi="es-AR"/>
        </w:rPr>
      </w:pPr>
      <w:r>
        <w:rPr>
          <w:lang w:val="es-AR" w:eastAsia="es-AR" w:bidi="es-AR"/>
        </w:rPr>
        <w:t xml:space="preserve">Mediante la presentaciones de fecha 2-9-2025 y 3-9-2025, los apoderados de las citadas en garantía Seguros Sura S.A. y La Perseverancia Seguros respectivamente apelaron los honorarios regulados en favor de la mediadora prejudicial, fundando sus recursos en el acto de su interposición.</w:t>
      </w:r>
    </w:p>
    <w:p>
      <w:pPr>
        <w:pStyle w:val="[Normal]"/>
        <w:spacing w:line="360" w:lineRule="auto"/>
        <w:ind w:firstLine="1134"/>
        <w:jc w:val="both"/>
        <w:rPr>
          <w:lang w:val="es-AR" w:eastAsia="es-AR" w:bidi="es-AR"/>
        </w:rPr>
      </w:pPr>
      <w:r>
        <w:rPr>
          <w:lang w:val="es-AR" w:eastAsia="es-AR" w:bidi="es-AR"/>
        </w:rPr>
        <w:t xml:space="preserve">Conferido el traslado pertinente fue contestado por la Dra. Daniela Teresa Zabalúa mediante los escritos de fecha 17-9-2025.</w:t>
      </w:r>
    </w:p>
    <w:p>
      <w:pPr>
        <w:pStyle w:val="[Normal]"/>
        <w:spacing w:line="360" w:lineRule="auto"/>
        <w:ind w:firstLine="1134"/>
        <w:jc w:val="both"/>
        <w:rPr>
          <w:lang w:val="es-AR" w:eastAsia="es-AR" w:bidi="es-AR"/>
        </w:rPr>
      </w:pPr>
      <w:r>
        <w:rPr>
          <w:lang w:val="es-AR" w:eastAsia="es-AR" w:bidi="es-AR"/>
        </w:rPr>
        <w:t xml:space="preserve">El letrado apoderado de la citada en garantía "Seguros Sura SA" Bernardo Fiorito comienza su critica expresando que las partes arribaron a un acuerdo en donde ambas codemandadas se obligaron a abonar a la parte actora una suma contemplativa de capital e intereses de $ 925.000. Achaca que el juez de la instancia anterior reguló honorarios y tasas excediendo el límite del 25% previsto por el art. 730 del Código Civil y Comercial. Señala que, pese a ello, se fijó a la mediadora una retribución de 102 jus —muy superior incluso al monto del acuerdo— lo que considera irrazonable y totalmente desproporcionado frente a la escasa labor realizada en una única audiencia sin resultados.</w:t>
      </w:r>
    </w:p>
    <w:p>
      <w:pPr>
        <w:pStyle w:val="[Normal]"/>
        <w:spacing w:line="360" w:lineRule="auto"/>
        <w:ind w:firstLine="1134"/>
        <w:jc w:val="both"/>
        <w:rPr>
          <w:lang w:val="es-AR" w:eastAsia="es-AR" w:bidi="es-AR"/>
        </w:rPr>
      </w:pPr>
      <w:r>
        <w:rPr>
          <w:lang w:val="es-AR" w:eastAsia="es-AR" w:bidi="es-AR"/>
        </w:rPr>
        <w:t xml:space="preserve">Cuestiona la aplicación del decreto 2530/10 por considerar que vulnera el art. 31 de la ley 13.951. Agrega que dicha normativa excede la potestad reglamentaria y genera una desproporción creciente debido a la inflación imperante. Por tanto plantea su inconstitucionalidad o, subsidiariamente, solicita que se morigeren los honorarios de la mediadora conforme criterios de razonabilidad, equidad y proporcionalidad. Cita jurisprudencia que avala su postura. Solicitando finalmente que se haga lugar al recurso y se adecuen los honorarios a parámetros lógicos.</w:t>
      </w:r>
    </w:p>
    <w:p>
      <w:pPr>
        <w:pStyle w:val="[Normal]"/>
        <w:spacing w:line="360" w:lineRule="auto"/>
        <w:ind w:firstLine="1134"/>
        <w:jc w:val="both"/>
        <w:rPr>
          <w:lang w:val="es-AR" w:eastAsia="es-AR" w:bidi="es-AR"/>
        </w:rPr>
      </w:pPr>
      <w:r>
        <w:rPr>
          <w:lang w:val="es-AR" w:eastAsia="es-AR" w:bidi="es-AR"/>
        </w:rPr>
        <w:t xml:space="preserve">A su turno la letrada apoderada de la compañía "La Perseverancia Seguros SA", Dra. Maria Elizabeth Pintos, centra también su queja en la cuantía de los honorarios regulados a la mediadora.  Sostiene que los honorarios fijados en el resolutorio en crisis resultan  elevados, pues triplican el monto del acuerdo tomado como base y superan ampliamente el límite del 25% previsto por el art. 730 del Código Civil y Comercial. Señala que la suma regulada no guarda relación con la labor efectivamente cumplida ni con los honorarios de los demás profesionales, por lo que el juez debió morigerarla conforme criterios de equidad y proporcionalidad.</w:t>
      </w:r>
    </w:p>
    <w:p>
      <w:pPr>
        <w:pStyle w:val="[Normal]"/>
        <w:spacing w:line="360" w:lineRule="auto"/>
        <w:ind w:firstLine="1134"/>
        <w:jc w:val="both"/>
        <w:rPr>
          <w:lang w:val="es-AR" w:eastAsia="es-AR" w:bidi="es-AR"/>
        </w:rPr>
      </w:pPr>
      <w:r>
        <w:rPr>
          <w:lang w:val="es-AR" w:eastAsia="es-AR" w:bidi="es-AR"/>
        </w:rPr>
        <w:t xml:space="preserve">Critica que se haya aplicado el Decreto 2530/10 —derogado y sustituido sucesivamente por los Decretos 43/19 y 600/21— cuando la mediadora recién solicitó regulación cinco años después de la firmeza de la sentencia, debiendo aplicarse la normativa vigente al momento del pedido La cual prevé una retribución de 2,18 jus por tratarse de montos inferiores a 32,07 jus. Añade que la aplicación del decreto derogado genera un resultado absurdo y contrario a derecho, además de perjudicar injustamente a los obligados al pago. Plantea en subsidio la inconstitucionalidad del decreto 2530/10 y solicitando la reducción de los honorarios a parámetros razonables y acordes con la labor cumplida.</w:t>
      </w:r>
    </w:p>
    <w:p>
      <w:pPr>
        <w:pStyle w:val="[Normal]"/>
        <w:spacing w:line="360" w:lineRule="auto"/>
        <w:ind w:firstLine="1134"/>
        <w:jc w:val="both"/>
        <w:rPr>
          <w:lang w:val="es-AR" w:eastAsia="es-AR" w:bidi="es-AR"/>
        </w:rPr>
      </w:pPr>
      <w:r>
        <w:rPr>
          <w:lang w:val="es-AR" w:eastAsia="es-AR" w:bidi="es-AR"/>
        </w:rPr>
        <w:t xml:space="preserve">La mediadora al contestar el traslado conferido  señala que la sentencia de autos quedó firme en 2019 y que recién en 2024, a raíz de su pedido de intimación, tomó conocimiento del acuerdo cancelatorio celebrado por las partes sin su intervención. Sostiene que ello evidencia una práctica que busca excluir a los mediadores y evitar obligaciones arancelarias. Afirma que los honorarios regulados se ajustan correctamente al Decreto 2530/2010, que fija pautas mínimas obligatorias aplicables según el monto del acuerdo y el valor del jus vigente al momento del pago.</w:t>
      </w:r>
    </w:p>
    <w:p>
      <w:pPr>
        <w:pStyle w:val="[Normal]"/>
        <w:spacing w:line="360" w:lineRule="auto"/>
        <w:ind w:firstLine="1134"/>
        <w:jc w:val="both"/>
        <w:rPr>
          <w:lang w:val="es-AR" w:eastAsia="es-AR" w:bidi="es-AR"/>
        </w:rPr>
      </w:pPr>
      <w:r>
        <w:rPr>
          <w:lang w:val="es-AR" w:eastAsia="es-AR" w:bidi="es-AR"/>
        </w:rPr>
        <w:t xml:space="preserve">Agrega que la mediación es un proceso autónomo, distinto al judicial, por lo que sus honorarios no deben prorratearse conforme el art. 730 del CCCN. Rechaza la tacha de inconstitucionalidad y el pedido de morigeración, afirmando que la retribución es adecuada y prevista por la normativa vigente al momento de su labor, y solicita la confirmación integral de la regulación impugnada.</w:t>
      </w:r>
    </w:p>
    <w:p>
      <w:pPr>
        <w:pStyle w:val="[Normal]"/>
        <w:spacing w:line="360" w:lineRule="auto"/>
        <w:ind w:firstLine="1134"/>
        <w:jc w:val="both"/>
        <w:rPr>
          <w:lang w:val="es-AR" w:eastAsia="es-AR" w:bidi="es-AR"/>
        </w:rPr>
      </w:pPr>
      <w:r>
        <w:rPr>
          <w:lang w:val="es-AR" w:eastAsia="es-AR" w:bidi="es-AR"/>
        </w:rPr>
        <w:t xml:space="preserve">Liminarmente y en relación a los planteos de inconstitucionalidad efectuados por los recurrentes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 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lang w:val="es-AR" w:eastAsia="es-AR" w:bidi="es-AR"/>
        </w:rPr>
      </w:pPr>
      <w:r>
        <w:rPr>
          <w:lang w:val="es-AR" w:eastAsia="es-AR" w:bidi="es-AR"/>
        </w:rPr>
        <w:t xml:space="preserve">Sentado aquello he de iniciar el tratamiento de tales piezas determinando prima facie cual es la normativa regulatoria aplicable al caso de marras. Al respecto debo advertir que las tareas que devengan los honorarios en cuestión se llevaron a cabo en fecha en el año 2016, en vigencia del decreto reglamentario 2530/2010. (confr. doctr. "Morcillo" SCBA; esta Cámara causa N°3835 RR13-2021; art. 7 del C.C.C. y su doctrina.).</w:t>
      </w:r>
    </w:p>
    <w:p>
      <w:pPr>
        <w:pStyle w:val="[Normal]"/>
        <w:spacing w:line="360" w:lineRule="auto"/>
        <w:ind w:firstLine="1134"/>
        <w:jc w:val="both"/>
        <w:rPr>
          <w:lang w:val="es-AR" w:eastAsia="es-AR" w:bidi="es-AR"/>
        </w:rPr>
      </w:pPr>
      <w:r>
        <w:rPr>
          <w:lang w:val="es-AR" w:eastAsia="es-AR" w:bidi="es-AR"/>
        </w:rPr>
        <w:t xml:space="preserve">En la especie surge de las análisis de las presentes actuaciones que se dio inicio a la etapa previa en fecha 14-11-2016, sin celebrarse audiencia por falta de comparecencia del requerido, cerrando la misma en fecha 6-12-2016.</w:t>
      </w:r>
    </w:p>
    <w:p>
      <w:pPr>
        <w:pStyle w:val="[Normal]"/>
        <w:spacing w:line="360" w:lineRule="auto"/>
        <w:ind w:firstLine="1134"/>
        <w:jc w:val="both"/>
        <w:rPr>
          <w:lang w:val="es-AR" w:eastAsia="es-AR" w:bidi="es-AR"/>
        </w:rPr>
      </w:pPr>
      <w:r>
        <w:rPr>
          <w:lang w:val="es-AR" w:eastAsia="es-AR" w:bidi="es-AR"/>
        </w:rPr>
        <w:t xml:space="preserve">Lo referenciado deja palmaria las tareas desarrolladas por la mediadora en cuanto asistió a una audiencia y con ello las labores desplegadas para su realización. Y por otro lado, las labores desempeñadas por los letrados intervinientes en la etapa judicial.  En el primer caso -etapa previa- insumió poco menos de un mes y en el segundo caso casi 2 años. Ello es un dato objetivo que permite mensurar en parte, la entidad de la tarea respectiva en tanto cabe distinguir supuestos en los que se llevan a cabo más o menos audiencias, median otras diligencias y cual es el resultado.</w:t>
      </w:r>
    </w:p>
    <w:p>
      <w:pPr>
        <w:pStyle w:val="[Normal]"/>
        <w:spacing w:line="360" w:lineRule="auto"/>
        <w:ind w:firstLine="1134"/>
        <w:jc w:val="both"/>
        <w:rPr>
          <w:lang w:val="es-AR" w:eastAsia="es-AR" w:bidi="es-AR"/>
        </w:rPr>
      </w:pPr>
      <w:r>
        <w:rPr>
          <w:lang w:val="es-AR" w:eastAsia="es-AR" w:bidi="es-AR"/>
        </w:rPr>
        <w:t xml:space="preserve">También se ha señalado desde aquí, que es pertinente tener en cuenta -y ello evidencia los inconvenientes expuestos en orden al decr. 2530/10-, las reformas habidas en la legislación a partir del dictado de la reglamentación de la ley 13.951 mediante el decreto N° 43/19 vigente desde el 01-02-19 (B.O.31-01-2019), ahora derogado por el actual decreto N° 600/21. El mencionado decreto 43/19 estableció una escala de sumas fijas en pesos como base, en relación también a montos fijos de honorarios en pesos, si bien estos últimos son readecuados por la Autoridad de Aplicación del Ministerio de Justicia de la Provincia y el actual (600/21), vigente desde el 19-8-2021 (B.O. 18-8-2021), contiene una escala en la que tanto el monto del litigio como los honorarios correspondientes se establecen en Jus arancelarios.</w:t>
      </w:r>
    </w:p>
    <w:p>
      <w:pPr>
        <w:pStyle w:val="[Normal]"/>
        <w:spacing w:line="360" w:lineRule="auto"/>
        <w:ind w:firstLine="1134"/>
        <w:jc w:val="both"/>
        <w:rPr>
          <w:lang w:val="es-AR" w:eastAsia="es-AR" w:bidi="es-AR"/>
        </w:rPr>
      </w:pPr>
      <w:r>
        <w:rPr>
          <w:lang w:val="es-AR" w:eastAsia="es-AR" w:bidi="es-AR"/>
        </w:rPr>
        <w:t xml:space="preserve">En la especie se debe tener especial consideración que el proceso fue iniciado en fecha 17-5-2017, se dictó sentencia definitiva en fecha 4-2-2019. Posteriormente no se registra actividad procesal alguna hasta agosto del 2024 donde la mediadora solicita se practique liquidación a fin de regular sus honorarios. Frente a ello las partes litigantes denuncian el acuerdo celebrado oportunamente el 20-8-2019 (ver presentación electrónica del 26-8-2024) en el cual  acordaron abonar a la actora la suma de $ 925.227 en concepto de capital e intereses. </w:t>
      </w:r>
    </w:p>
    <w:p>
      <w:pPr>
        <w:pStyle w:val="[Normal]"/>
        <w:spacing w:line="360" w:lineRule="auto"/>
        <w:ind w:firstLine="1134"/>
        <w:jc w:val="both"/>
        <w:rPr>
          <w:lang w:val="es-AR" w:eastAsia="es-AR" w:bidi="es-AR"/>
        </w:rPr>
      </w:pPr>
      <w:r>
        <w:rPr>
          <w:lang w:val="es-AR" w:eastAsia="es-AR" w:bidi="es-AR"/>
        </w:rPr>
        <w:t xml:space="preserve">En la resolución atacada el juez de primera instancia ha tomado como base regulatoria dicho monto ha fin de calcular los estipendios de los diferentes profesionales intervinientes. </w:t>
      </w:r>
    </w:p>
    <w:p>
      <w:pPr>
        <w:pStyle w:val="[Normal]"/>
        <w:spacing w:line="360" w:lineRule="auto"/>
        <w:ind w:firstLine="1134"/>
        <w:jc w:val="both"/>
        <w:rPr>
          <w:lang w:val="es-AR" w:eastAsia="es-AR" w:bidi="es-AR"/>
        </w:rPr>
      </w:pPr>
      <w:r>
        <w:rPr>
          <w:lang w:val="es-AR" w:eastAsia="es-AR" w:bidi="es-AR"/>
        </w:rPr>
        <w:t xml:space="preserve">En efecto al regular los honorarios de la mediadora Zabalúa aplicó los parámetros que establece el decreto 2530/10 arrojando el monto de 102 jus arancelarios. Vale destacar que conforme al valor del jus actual, es decir $ 44.330 (Acuerdo SCBA 4200/25), la suma en concepto de honorarios para le mencionada profesional ascendería a la suma  de $ 4.521.660.</w:t>
      </w:r>
    </w:p>
    <w:p>
      <w:pPr>
        <w:pStyle w:val="[Normal]"/>
        <w:spacing w:line="360" w:lineRule="auto"/>
        <w:ind w:firstLine="1134"/>
        <w:jc w:val="both"/>
        <w:rPr>
          <w:lang w:val="es-AR" w:eastAsia="es-AR" w:bidi="es-AR"/>
        </w:rPr>
      </w:pPr>
      <w:r>
        <w:rPr>
          <w:lang w:val="es-AR" w:eastAsia="es-AR" w:bidi="es-AR"/>
        </w:rPr>
        <w:t xml:space="preserve">Tal resultado me conduce a razonar que los emolumentos fijados a la mediadora resultan desproporcionados. Y es que éste Tribunal (conf. criterio vertido en causas N° 4401 RR 82-2021 y anteriores allí citadas), ha entendido que en virtud del principio de equidad y de la proporcionalidad entre labor desarrollada y retribución (conf. ley 24.432 art. 13 que modifica el art. 1627 del C.C. respecto a honorarios de profesionales y auxiliares de la justicia, concordante con el art. 1255 del C.C.C.), y meritando en dicho orden, las sucesivas reformas habidas en la legislación de Mediación ponderando para el caso particular los parámetros que actualmente establece el decreto 600/21, concluyo que los honorarios aquí en recurso se deben modificar. </w:t>
      </w:r>
    </w:p>
    <w:p>
      <w:pPr>
        <w:pStyle w:val="[Normal]"/>
        <w:spacing w:line="360" w:lineRule="auto"/>
        <w:ind w:firstLine="1134"/>
        <w:jc w:val="both"/>
        <w:rPr>
          <w:lang w:val="es-AR" w:eastAsia="es-AR" w:bidi="es-AR"/>
        </w:rPr>
      </w:pPr>
      <w:r>
        <w:rPr>
          <w:lang w:val="es-AR" w:eastAsia="es-AR" w:bidi="es-AR"/>
        </w:rPr>
        <w:t xml:space="preserve">Por lo expuesto entiendo prudente  fijar la suma equivalente en 7 JUS de unidad arancelaria, con más el porcentaje legal pertinente (ley 6716 y sus modif. T.O. decr. 4771/95, B.O. 15/2/96) e IVA si correspondiere.(doctr. art. 1255 del C.C.C. en conc. art. 1627 del C.C modif. por ley 24.432 art. 3), doctr. art. 31 decr.regl. 600/21).</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w:t>
      </w:r>
      <w:r>
        <w:rPr>
          <w:b/>
          <w:i/>
          <w:color w:val="000000"/>
          <w:lang w:val="es-AR" w:eastAsia="es-AR" w:bidi="es-AR"/>
        </w:rPr>
        <w:t xml:space="preserve"> </w:t>
      </w:r>
      <w:r>
        <w:rPr>
          <w:i/>
          <w:color w:val="000000"/>
          <w:lang w:val="es-AR" w:eastAsia="es-AR" w:bidi="es-AR"/>
        </w:rPr>
        <w:t xml:space="preserve">constituye juicio contradictorio de índole tal que genere costas por lo que el</w:t>
      </w:r>
      <w:r>
        <w:rPr>
          <w:b/>
          <w:i/>
          <w:color w:val="000000"/>
          <w:lang w:val="es-AR" w:eastAsia="es-AR" w:bidi="es-AR"/>
        </w:rPr>
        <w:t xml:space="preserve"> </w:t>
      </w:r>
      <w:r>
        <w:rPr>
          <w:i/>
          <w:color w:val="000000"/>
          <w:lang w:val="es-AR" w:eastAsia="es-AR" w:bidi="es-AR"/>
        </w:rPr>
        <w:t xml:space="preserve">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 los recursos de apelación interpuestos, y en su mérito modificar la resolución de fecha 25-8-2025, fijando en consecuencia los estipendios de la mediadora Dra. Daniela Zabalúa, en la suma de 7 jus, con más el porcentaje legal pertinente (ley 6716 y sus modif. T.O. decr. 4771/95, B.O. 15/2/96). (art. 1255 C.C.yC.; doctr. arts. 16, 28 y ccs. ley 14.967).</w:t>
      </w:r>
    </w:p>
    <w:p>
      <w:pPr>
        <w:pStyle w:val="[Normal]"/>
        <w:spacing w:line="360" w:lineRule="auto"/>
        <w:ind w:firstLine="1134"/>
        <w:jc w:val="both"/>
        <w:rPr>
          <w:lang w:val="es-AR" w:eastAsia="es-AR" w:bidi="es-AR"/>
        </w:rPr>
      </w:pPr>
      <w:r>
        <w:rPr>
          <w:lang w:val="es-AR" w:eastAsia="es-AR" w:bidi="es-AR"/>
        </w:rPr>
        <w:t xml:space="preserve">Sin costas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 los recursos de apelación interpuestos, y en su mérito modificar la resolución de fecha 25-8-2025, fijando en consecuencia los estipendios de la mediadora Dra. Daniela Zabalúa, en la suma de 7 jus, con más el porcentaje legal pertinente (ley 6716 y sus modif. T.O. decr. 4771/95, B.O. 15/2/96). (art. 1255 C.C.yC.; doctr. arts. 16, 28 y ccs. ley 14.967).</w:t>
      </w:r>
    </w:p>
    <w:p>
      <w:pPr>
        <w:pStyle w:val="[Normal]"/>
        <w:spacing w:line="360" w:lineRule="auto"/>
        <w:ind w:firstLine="1134"/>
        <w:jc w:val="both"/>
        <w:rPr>
          <w:lang w:val="es-AR" w:eastAsia="es-AR" w:bidi="es-AR"/>
        </w:rPr>
      </w:pPr>
      <w:r>
        <w:rPr>
          <w:lang w:val="es-AR" w:eastAsia="es-AR" w:bidi="es-AR"/>
        </w:rPr>
        <w:t xml:space="preserve">Sin costas (art. 68 2º párr.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10:05:33 -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10:30:58 -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10:48:54 -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‰8&lt;")è&amp;h:YNŠ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242802090006722657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18/12/2025 10:49:11 hs. bajo el número RS-186-2025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