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5850-25</w:t>
      </w:r>
      <w:r>
        <w:rPr>
          <w:b/>
          <w:lang w:val="es-AR" w:eastAsia="es-AR" w:bidi="es-AR"/>
        </w:rPr>
        <w:t xml:space="preserve"> </w:t>
      </w:r>
      <w:r>
        <w:rPr>
          <w:lang w:val="es-AR" w:eastAsia="es-AR" w:bidi="es-AR"/>
        </w:rPr>
        <w:t xml:space="preserve">caratulada </w:t>
      </w:r>
      <w:r>
        <w:rPr>
          <w:b/>
          <w:lang w:val="es-AR" w:eastAsia="es-AR" w:bidi="es-AR"/>
        </w:rPr>
        <w:t xml:space="preserve">"</w:t>
      </w:r>
      <w:r>
        <w:rPr>
          <w:b/>
          <w:color w:val="000000"/>
          <w:lang w:val="es-AR" w:eastAsia="es-AR" w:bidi="es-AR"/>
        </w:rPr>
        <w:t xml:space="preserve">ARANCIBIA DAIANA YANET C/ PANZA PABLO MARTIN Y OTROS S/ DAÑOS Y PERJ.AUTOM. C/LES. O MUERTE (EXC.ESTADO)</w:t>
      </w:r>
      <w:r>
        <w:rPr>
          <w:b/>
          <w:lang w:val="es-AR" w:eastAsia="es-AR" w:bidi="es-AR"/>
        </w:rPr>
        <w:t xml:space="preserve">"</w:t>
      </w:r>
      <w:r>
        <w:rPr>
          <w:lang w:val="es-AR" w:eastAsia="es-AR" w:bidi="es-AR"/>
        </w:rPr>
        <w:t xml:space="preserve">, Expte. 67.479</w:t>
      </w:r>
      <w:r>
        <w:rPr>
          <w:color w:val="000000"/>
          <w:lang w:val="es-AR" w:eastAsia="es-AR" w:bidi="es-AR"/>
        </w:rPr>
        <w:t xml:space="preserve"> </w:t>
      </w:r>
      <w:r>
        <w:rPr>
          <w:lang w:val="es-AR" w:eastAsia="es-AR" w:bidi="es-AR"/>
        </w:rPr>
        <w:t xml:space="preserve">del Juzgado en lo Civil y Comercial Nro. 3, se practicó el sorteo de ley que determinó que la votación debía efectuarse en el siguiente orden: Roberto Manuel Degleue y Graciela Scaraffía,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El señor Juez de primera instancia, en lo que aquí interesa destacar, homologó en todas sus partes el acuerdo transaccional presentado el 10-7-2025 y reguló los honorarios de la mediadora interviniente Vanesa Mezzanotte Olmedo</w:t>
      </w:r>
      <w:r>
        <w:rPr>
          <w:rStyle w:val="STRONG"/>
          <w:b w:val="off"/>
          <w:lang w:val="es-AR" w:eastAsia="es-AR" w:bidi="es-AR"/>
        </w:rPr>
        <w:t xml:space="preserve"> en la suma de 13,04 jus de unidad arancelaria.</w:t>
      </w:r>
    </w:p>
    <w:p>
      <w:pPr>
        <w:pStyle w:val="[Normal]"/>
        <w:spacing w:line="360" w:lineRule="auto"/>
        <w:ind w:firstLine="1134"/>
        <w:jc w:val="both"/>
        <w:rPr>
          <w:lang w:val="es-AR" w:eastAsia="es-AR" w:bidi="es-AR"/>
        </w:rPr>
      </w:pPr>
      <w:r>
        <w:rPr>
          <w:lang w:val="es-AR" w:eastAsia="es-AR" w:bidi="es-AR"/>
        </w:rPr>
        <w:t xml:space="preserve">Disconforme con lo decidido, el apoderado de la citada en garantía </w:t>
      </w:r>
      <w:r>
        <w:rPr>
          <w:rStyle w:val="STRONG"/>
          <w:b w:val="off"/>
          <w:lang w:val="es-AR" w:eastAsia="es-AR" w:bidi="es-AR"/>
        </w:rPr>
        <w:t xml:space="preserve">Ricardo Alberto Labaronnie</w:t>
      </w:r>
      <w:r>
        <w:rPr>
          <w:lang w:val="es-AR" w:eastAsia="es-AR" w:bidi="es-AR"/>
        </w:rPr>
        <w:t xml:space="preserve"> interpone recurso de apelación el 6-8-2025, concedido el 11-08-2025  fundado en esa misma fecha.</w:t>
      </w:r>
    </w:p>
    <w:p>
      <w:pPr>
        <w:pStyle w:val="[Normal]"/>
        <w:spacing w:line="360" w:lineRule="auto"/>
        <w:ind w:firstLine="1134"/>
        <w:jc w:val="both"/>
        <w:rPr>
          <w:lang w:val="es-AR" w:eastAsia="es-AR" w:bidi="es-AR"/>
        </w:rPr>
      </w:pPr>
      <w:r>
        <w:rPr>
          <w:lang w:val="es-AR" w:eastAsia="es-AR" w:bidi="es-AR"/>
        </w:rPr>
        <w:t xml:space="preserve">Se duele el quejoso en relación a los honorarios profesionales fijados en favor de la mediadora interviniente, por considerar los mismos excesivos y notoriamente desproporcionados en relación con el monto del acuerdo y con la mínima labor efectivamente desarrollada. </w:t>
      </w:r>
    </w:p>
    <w:p>
      <w:pPr>
        <w:pStyle w:val="[Normal]"/>
        <w:spacing w:line="360" w:lineRule="auto"/>
        <w:ind w:firstLine="1134"/>
        <w:jc w:val="both"/>
        <w:rPr>
          <w:lang w:val="es-AR" w:eastAsia="es-AR" w:bidi="es-AR"/>
        </w:rPr>
      </w:pPr>
      <w:r>
        <w:rPr>
          <w:lang w:val="es-AR" w:eastAsia="es-AR" w:bidi="es-AR"/>
        </w:rPr>
        <w:t xml:space="preserve">Sostiene que la retribución fijada -que supera el 10% del capital transado- carece de razonabilidad, no respeta las pautas del art. 16 de la Ley 14.967 y desconoce criterios reiterados de la Corte Suprema, que exigen proporcionalidad entre la labor cumplida y los intereses en juego. Señala que la mediación insumió apenas unos minutos, no aportó elementos que permitieran arribar a una solución y que su costo termina encareciendo injustificadamente el acceso a la justicia, contrariando la finalidad de la Ley 13.951 y afectando derechos de jerarquía constitucional.</w:t>
      </w:r>
    </w:p>
    <w:p>
      <w:pPr>
        <w:pStyle w:val="[Normal]"/>
        <w:spacing w:line="360" w:lineRule="auto"/>
        <w:ind w:firstLine="1134"/>
        <w:jc w:val="both"/>
        <w:rPr>
          <w:lang w:val="es-AR" w:eastAsia="es-AR" w:bidi="es-AR"/>
        </w:rPr>
      </w:pPr>
      <w:r>
        <w:rPr>
          <w:lang w:val="es-AR" w:eastAsia="es-AR" w:bidi="es-AR"/>
        </w:rPr>
        <w:t xml:space="preserve">Destaca, además, que la regulación cuestionada genera un notorio desequilibrio respecto de los honorarios de los profesionales que intervinieron en el proceso judicial, pese a haber desplegado una tarea de mucha mayor extensión y responsabilidad. Invoca jurisprudencia de la Corte Suprema y de la SCBA que autoriza reducir los honorarios cuando su cuantía resulta arbitraria o manifiestamente desproporcionada. En ese marco, solicita se revoque la regulación impugnada y adecue los honorarios a la entidad real de la tarea desarrollada, declarando en su caso la inconstitucionalidad de las normas aplicadas o utilizando la facultad morigeradora prevista en el art. 1255 del CCCN.</w:t>
      </w:r>
    </w:p>
    <w:p>
      <w:pPr>
        <w:pStyle w:val="[Normal]"/>
        <w:spacing w:line="360" w:lineRule="auto"/>
        <w:ind w:firstLine="1134"/>
        <w:jc w:val="both"/>
        <w:rPr>
          <w:lang w:val="es-AR" w:eastAsia="es-AR" w:bidi="es-AR"/>
        </w:rPr>
      </w:pPr>
      <w:r>
        <w:rPr>
          <w:lang w:val="es-AR" w:eastAsia="es-AR" w:bidi="es-AR"/>
        </w:rPr>
        <w:t xml:space="preserve">Elevados los autos a esta Alzada, el 2-10-2025 se dicta el llamamiento de autos para resolver, el que firme a la fecha deja la causa en condiciones de ser fallada.</w:t>
      </w:r>
    </w:p>
    <w:p>
      <w:pPr>
        <w:pStyle w:val="[Normal]"/>
        <w:spacing w:line="360" w:lineRule="auto"/>
        <w:ind w:firstLine="1134"/>
        <w:jc w:val="both"/>
        <w:rPr>
          <w:b/>
          <w:lang w:val="es-AR" w:eastAsia="es-AR" w:bidi="es-AR"/>
        </w:rPr>
      </w:pPr>
      <w:r>
        <w:rPr>
          <w:lang w:val="es-AR" w:eastAsia="es-AR" w:bidi="es-AR"/>
        </w:rPr>
        <w:t xml:space="preserve">Liminarmente, ha de recordarse que éste Tribunal en reiteradas oportunidades en análogos cuestionamientos, ha reconocido la potestad del juzgador para adecuar los honorarios de los mediadores sin llegar a la declaración de inconstitucionalidad de la normativa referida (CAP, C. N° 4822 RSD 47/2023 del 18-4-2023, N° 2464, N° 3889, N° 2631, entr. otrs.), la que sabido es que por su extrema gravedad  debe ser considerada como  última ratio del orden jurídico. En esa línea, hemos señalado que no existe interés procesal en declarar la inconstitucionalidad de la normativa específica aplicable en materia de honorarios de mediadores, ya que su vigencia no impide ponderar circunstancias del caso concreto ni aplicar, en su caso, el art. 1255 segundo párrafo CCyC cuando correspondiere (v. CAP N° 5306 RSD 90/2024).</w:t>
      </w:r>
    </w:p>
    <w:p>
      <w:pPr>
        <w:pStyle w:val="[Normal]"/>
        <w:spacing w:line="360" w:lineRule="auto"/>
        <w:ind w:firstLine="1134"/>
        <w:jc w:val="both"/>
        <w:rPr>
          <w:lang w:val="es-AR" w:eastAsia="es-AR" w:bidi="es-AR"/>
        </w:rPr>
      </w:pPr>
      <w:r>
        <w:rPr>
          <w:lang w:val="es-AR" w:eastAsia="es-AR" w:bidi="es-AR"/>
        </w:rPr>
        <w:t xml:space="preserve">Sentado lo que precede, cabe adentrarse en el tratamiento del recurso en tanto el agravio lo constituye el monto regulado a la letrada Vanesa Mezzanotte Olmedo por su trabajo como mediadora, que en la instancia de origen se los determinó en la suma equivalente a 13,04 jus de unidad arancelaria y que el apelante entiende desproporcionado.</w:t>
      </w:r>
    </w:p>
    <w:p>
      <w:pPr>
        <w:pStyle w:val="[Normal]"/>
        <w:spacing w:line="360" w:lineRule="auto"/>
        <w:ind w:firstLine="1134"/>
        <w:jc w:val="both"/>
        <w:rPr>
          <w:lang w:val="es-AR" w:eastAsia="es-AR" w:bidi="es-AR"/>
        </w:rPr>
      </w:pPr>
      <w:r>
        <w:rPr>
          <w:lang w:val="es-AR" w:eastAsia="es-AR" w:bidi="es-AR"/>
        </w:rPr>
        <w:t xml:space="preserve">Para ello considero oportuno señalar que no comparto los argumentos expuestos por el letrado de la citada en garantía, en tanto tienden a desvalorizar la tarea desarrollada por la mediadora al afirmar que la audiencia habría insumido apenas unos minutos, que no habría aportado elementos útiles para arribar a un acuerdo y que su intervención encarecería injustificadamente el acceso a la justicia. Tales manifestaciones no pueden erigirse en un factor determinante para solicitar la reducción de los honorarios profesionales. Por el contrario, corresponde recordar que la Ley de Mediación, así como su decreto reglamentario, establecen pautas y montos mínimos que buscan reconocer la especificidad de su labor, garantizar la sostenibilidad del servicio y asegurar su función preventiva y desjudicializadora. Admitir regulaciones sensiblemente inferiores desnaturalizaría esa finalidad legal y podría desalentar la intervención efectiva de quienes cumplen un rol central en la construcción de soluciones tempranas y en la protección de derechos de los justiciables.</w:t>
      </w:r>
    </w:p>
    <w:p>
      <w:pPr>
        <w:pStyle w:val="[Normal]"/>
        <w:spacing w:line="360" w:lineRule="auto"/>
        <w:ind w:firstLine="1134"/>
        <w:jc w:val="both"/>
        <w:rPr>
          <w:lang w:val="es-AR" w:eastAsia="es-AR" w:bidi="es-AR"/>
        </w:rPr>
      </w:pPr>
      <w:r>
        <w:rPr>
          <w:lang w:val="es-AR" w:eastAsia="es-AR" w:bidi="es-AR"/>
        </w:rPr>
        <w:t xml:space="preserve">Respecto de ello último, resulta pertinente recordar la finalidad que el legislador provincial tuvo al sancionar la Ley de Mediación, esto es, otorgarle a la ciudadanía una herramienta alternativa prejudicial de resolución de conflictos para que éstos se resuelvan a la mayor brevedad posible y cuyos beneficios van más allá del interés de las partes, dado que se extiende a las bondades que de ello se derivan, como ser una menor judicialización de las causas, que redunda en un mejor servicio de justicia; toda vez que el justiciable compone el litigio en un tiempo concomitante con el hecho lo que derrama en un beneficio tanto para el particular como para la comunidad (conf. CAP C. N° 4822 RSD 47/2023 del 18-4-2023; N° 4334 RS-143-2022 del 24-11-2022, entre. otr). </w:t>
      </w:r>
    </w:p>
    <w:p>
      <w:pPr>
        <w:pStyle w:val="[Normal]"/>
        <w:spacing w:line="360" w:lineRule="auto"/>
        <w:ind w:firstLine="1134"/>
        <w:jc w:val="both"/>
        <w:rPr>
          <w:lang w:val="es-AR" w:eastAsia="es-AR" w:bidi="es-AR"/>
        </w:rPr>
      </w:pPr>
      <w:r>
        <w:rPr>
          <w:lang w:val="es-AR" w:eastAsia="es-AR" w:bidi="es-AR"/>
        </w:rPr>
        <w:t xml:space="preserve">A mayor abundamiento, cabe agregar que la operatividad del principio de confidencialidad en materia de mediación prejudicial (art. 1 y 16 de la ley 13.951) limita la posibilidad de valorar integralmente la entidad, calidad y cantidad de la prestación profesional brindada por la mediadora, toda vez que es la propia ley la que veda la reproducción de los hechos acaecidos durante la realización de dicha etapa. Con lo cual la cantidad de audiencias realizadas, las características del acta de audiencia y cualquier otra constancia que acredite una gestión llevada a cabo por la mediadora, si bien puede tener un valor indicativo de la labor desarrollada, en ningún caso resulta determinante y autosuficiente para la ponderación global de la tarea realizada y, en consecuencia, para la consecuente determinación de la retribución por su intervención en esta instancia previa al proceso judicial strictu sensu (conf. CAP N° 5465 RSD 183/2024 del 12-12-2024, entre. otr).</w:t>
      </w:r>
    </w:p>
    <w:p>
      <w:pPr>
        <w:pStyle w:val="[Normal]"/>
        <w:spacing w:line="360" w:lineRule="auto"/>
        <w:ind w:firstLine="1134"/>
        <w:jc w:val="both"/>
        <w:rPr>
          <w:lang w:val="es-AR" w:eastAsia="es-AR" w:bidi="es-AR"/>
        </w:rPr>
      </w:pPr>
      <w:r>
        <w:rPr>
          <w:lang w:val="es-AR" w:eastAsia="es-AR" w:bidi="es-AR"/>
        </w:rPr>
        <w:t xml:space="preserve">En ese contexto, considero que si bien en la presente se celebró una audiencia de mediación y por falta de acuerdo de las partes se cerró el trámite, cabe presumir que la realización de la misma estuvo precedida de ciertos actos previos indispensables -estudio de antecedentes, organización del encuentro, diligencias de notificación, dirección del procedimiento, entre otros- cuya entidad no siempre resulta reflejada en el acta final y cuya valoración se ve limitada por el principio de confidencialidad previsto en los arts. 1 y 16 de la Ley 13.951, lo que constituye causa suficiente para justificar el pago de los honorarios devengados por parte del obligado. Adunando al respecto que si la tarea de la mediadora quedó así circunscripta no fue por razones atribuibles a ella, sino por cuestiones vinculadas a la propia voluntad de las partes de llegar a un acuerdo.</w:t>
      </w:r>
    </w:p>
    <w:p>
      <w:pPr>
        <w:pStyle w:val="[Normal]"/>
        <w:spacing w:line="360" w:lineRule="auto"/>
        <w:ind w:firstLine="1134"/>
        <w:jc w:val="both"/>
        <w:rPr>
          <w:lang w:val="es-AR" w:eastAsia="es-AR" w:bidi="es-AR"/>
        </w:rPr>
      </w:pPr>
      <w:r>
        <w:rPr>
          <w:lang w:val="es-AR" w:eastAsia="es-AR" w:bidi="es-AR"/>
        </w:rPr>
        <w:t xml:space="preserve">Así las cosas, en la especie entiendo (conf. criterio vertido en causas N° 4162/20 RR-22-2022 y anteriores allí citadas) que de conformidad a la ley especial que rige en la materia y que deviene temporalmente aplicable al caso habida cuenta la fecha de realización de los trabajos respectivos -agosto y septiembre de 2023; artículos 31 de la ley 13.951 y 31 del decreto 600/21-, y meritando en dicho orden el monto que resulta de la transacción arribada en el proceso ($5.000.000, valor jus al momento de la regulación de primera instancia $42.219 (Ac. 4190/25 SCBA), monto del asunto equivalente a 118,43 jus),</w:t>
      </w:r>
      <w:r>
        <w:rPr>
          <w:b/>
          <w:lang w:val="es-AR" w:eastAsia="es-AR" w:bidi="es-AR"/>
        </w:rPr>
        <w:t xml:space="preserve"> </w:t>
      </w:r>
      <w:r>
        <w:rPr>
          <w:lang w:val="es-AR" w:eastAsia="es-AR" w:bidi="es-AR"/>
        </w:rPr>
        <w:t xml:space="preserve">los honorarios regulados en favor de la mediadora interviniente por los trabajos realizados en autos no se aprecian elevados y retribuyen adecuadamente la tarea cumplida por la misma, de </w:t>
      </w:r>
      <w:r>
        <w:rPr>
          <w:color w:val="000000"/>
          <w:lang w:val="es-AR" w:eastAsia="es-AR" w:bidi="es-AR"/>
        </w:rPr>
        <w:t xml:space="preserve">conformidad a las pautas contenidas en los </w:t>
      </w:r>
      <w:r>
        <w:rPr>
          <w:lang w:val="es-AR" w:eastAsia="es-AR" w:bidi="es-AR"/>
        </w:rPr>
        <w:t xml:space="preserve">arts. 31 de la ley 13.951, art. 31 inc. "c" del decreto 600/21). </w:t>
      </w:r>
    </w:p>
    <w:p>
      <w:pPr>
        <w:pStyle w:val="[Normal]"/>
        <w:spacing w:line="360" w:lineRule="auto"/>
        <w:ind w:firstLine="1134"/>
        <w:jc w:val="both"/>
        <w:rPr>
          <w:lang w:val="es-AR" w:eastAsia="es-AR" w:bidi="es-AR"/>
        </w:rPr>
      </w:pPr>
      <w:r>
        <w:rPr>
          <w:lang w:val="es-AR" w:eastAsia="es-AR" w:bidi="es-AR"/>
        </w:rPr>
        <w:t xml:space="preserve">En atención a lo expuesto, y no advirtiendo una vulneración al principio de razonabilidad, propongo al Acuerdo confirmar la regulación practicada a la mediadora interviniente. Ello es así porque, aún cuando el marco normativo habilita a los jueces a adecuar equitativamente los honorarios cuando la aplicación estricta de los aranceles genere una desproporción injustificada entre la retribución y la tarea efectivamente realizada, en este caso no se advierten elementos que justifiquen apartarse de los parámetros establecidos.</w:t>
      </w:r>
    </w:p>
    <w:p>
      <w:pPr>
        <w:pStyle w:val="[Normal]"/>
        <w:spacing w:line="360" w:lineRule="auto"/>
        <w:ind w:firstLine="1134"/>
        <w:jc w:val="both"/>
        <w:rPr>
          <w:lang w:val="es-AR" w:eastAsia="es-AR" w:bidi="es-AR"/>
        </w:rPr>
      </w:pPr>
      <w:r>
        <w:rPr>
          <w:lang w:val="es-AR" w:eastAsia="es-AR" w:bidi="es-AR"/>
        </w:rPr>
        <w:t xml:space="preserve">No se establecen costas ni aranceles profesionales en ésta Instancia</w:t>
      </w:r>
      <w:r>
        <w:rPr>
          <w:color w:val="000000"/>
          <w:lang w:val="es-AR" w:eastAsia="es-AR" w:bidi="es-AR"/>
        </w:rPr>
        <w:t xml:space="preserve"> por cuanto </w:t>
      </w:r>
      <w:r>
        <w:rPr>
          <w:i/>
          <w:color w:val="000000"/>
          <w:lang w:val="es-AR" w:eastAsia="es-AR" w:bidi="es-AR"/>
        </w:rPr>
        <w:t xml:space="preserve">"El procedimiento de regulación de honorarios no constituye juicio contradictorio de índole tal que genere costas por lo que el recurso deducido en aquel y los respectivos trabajos de Alzada no devengan honorarios" </w:t>
      </w:r>
      <w:r>
        <w:rPr>
          <w:color w:val="000000"/>
          <w:lang w:val="es-AR" w:eastAsia="es-AR" w:bidi="es-AR"/>
        </w:rPr>
        <w:t xml:space="preserve">(confr. esta Cámara causas C-6245 RSI 3 del 6-2-08; Nº 1291 RSI 10 del 7/2/14, Nº </w:t>
      </w:r>
      <w:r>
        <w:rPr>
          <w:lang w:val="es-AR" w:eastAsia="es-AR" w:bidi="es-AR"/>
        </w:rPr>
        <w:t xml:space="preserve">2457 RSI 6/2016, entre otros</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Rechazar el recurso de apelación interpuesto y confirmar la resolución de fecha 5-8-2025 en cuanto regula los honorarios de la letrada Mediadora Vanesa Mezzanotte Olmedo en la suma equivalente a 13,04 jus de unidad arancelaria, con más el porcentaje legal pertinente (ley 6716 y sus modif. T.O. decr. 4771/95, B.O. 15/2/96) (art. 31 de la ley 13.951, art. 31 inc. "c" del decreto 600/21; doctr. arts. 16, 28 y ccs. ley 14.967).</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Rechazar el recurso de apelación interpuesto y confirmar la resolución de fecha 5-8-2025 en cuanto regula los honorarios de la letrada Mediadora Vanesa Mezzanotte Olmedo en la suma equivalente a 13,04 jus de unidad arancelaria, con más el porcentaje legal pertinente (ley 6716 y sus modif. T.O. decr. 4771/95, B.O. 15/2/96) (art. 31 de la ley 13.951, art. 31 inc. "c" del decreto 600/21; doctr. arts. 16, 28 y ccs. ley 14.967).</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Normal]"/>
        <w:spacing w:line="360" w:lineRule="auto"/>
        <w:ind w:firstLine="1134"/>
        <w:jc w:val="both"/>
        <w:rPr>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11/12/2025 12:43:46 -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11/12/2025 12:52:28 -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11/12/2025 13:01:17 -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‰8M")è&amp;kCF"Š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244502090006753538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11/12/2025 13:01:51 hs. bajo el número RS-175-2025 por PE\NMARTINEZ NICOLAS.</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STRONG">
    <w:name w:val="STRONG"/>
    <w:qFormat/>
    <w:rPr>
      <w:b/>
      <w:b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