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5817-25</w:t>
      </w:r>
      <w:r>
        <w:rPr>
          <w:lang w:val="es-AR" w:eastAsia="es-AR" w:bidi="es-AR"/>
        </w:rPr>
        <w:t xml:space="preserve"> caratulada </w:t>
      </w:r>
      <w:r>
        <w:rPr>
          <w:b/>
          <w:lang w:val="es-AR" w:eastAsia="es-AR" w:bidi="es-AR"/>
        </w:rPr>
        <w:t xml:space="preserve">"</w:t>
      </w:r>
      <w:r>
        <w:rPr>
          <w:b/>
          <w:color w:val="000000"/>
          <w:lang w:val="es-AR" w:eastAsia="es-AR" w:bidi="es-AR"/>
        </w:rPr>
        <w:t xml:space="preserve">GOMEZ NATALIA LORENA C/ LEIVA ADRIAN GASTON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79.060</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del mismo modo que su inaplicabilidad al caso, y dispuso una equitativa actualización del crédito adeudado. Hizo lugar a la demanda incoada y, en consecuencia, condenó a la parte demandada y la citada en garantía, Sr. Adrian Gastón Leiva, Sr. Ceferino Ismael Leiva y Seguros Bernardino Rivadavia Cooperativa Limitada, a abonar la parte actora, Sra. Natalia Lorena Gomez, dentro de los diez (10) días de notificada la presente, la suma de VEINTE MILLONES NOVECIENTOS VEINTICUATRO MIL OCHOCIENTOS TREINTA Y DOS Pesos ($20.924.832), actualizable según lo dispuesto en el considerando VIII, con más sus respectivos intereses calculados en la forma establecida en el considerando VII, a partir de la fecha del hecho (07/08/2022) y hasta el momento de su efectivo pago (S.C.B.A., Ac. 2078, C-95.720 del 15/09/2010 y L-118615 del 11/03/2015) (art. 768 C.C.C.N.). Aplicó las costas a la parte demandada y a la citada en garantía que resultan vencidas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demandada y citada en garantía (30-8-2025), concedido libremente y en efecto suspensivo el 2-9-2025. Elevados los autos a esta Alzada con fecha 16-9-2025 se ordenó expresar agravios a la parte demandada y citada en garantía, quien el 29-9-2025 los fundó y del mismo traslado a la parte actora. 3-10-2025 la parte actora lo evacuo. El 16-10-2025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en su calidad de apoderado del demandado y la citada en garantía de la porción de la sentencia de grado en punto a la incapacidad física sosteniendo la desatención del juzgador de grado respecto de la existencia de un siniestro anterior de la parte actora en el cual dice que sufrió una lesión exactamente igual en la misma zona anatómica, solicitando una medida para mejor proveer.-</w:t>
      </w:r>
    </w:p>
    <w:p>
      <w:pPr>
        <w:pStyle w:val="[Normal]"/>
        <w:spacing w:line="360" w:lineRule="auto"/>
        <w:ind w:firstLine="1134"/>
        <w:jc w:val="both"/>
        <w:rPr>
          <w:lang w:val="es-AR" w:eastAsia="es-AR" w:bidi="es-AR"/>
        </w:rPr>
      </w:pPr>
      <w:r>
        <w:rPr>
          <w:lang w:val="es-AR" w:eastAsia="es-AR" w:bidi="es-AR"/>
        </w:rPr>
        <w:t xml:space="preserve">En el segundo punto de su queja ataca la valorización actual de los ingresos del actor, calificándola como infundada y sin sustento.  Dice que el aquo toma como base el ingreso de esos ochocientos mil ($ 800.000) mensuales para la categoría de operaria, basándose en una supuesta remuneración actual, y que este valor es más alto que lo que la actora cobraba según recibos de sueldo presentados señalando  que no explica de donde viene esa cifra.-</w:t>
      </w:r>
    </w:p>
    <w:p>
      <w:pPr>
        <w:pStyle w:val="[Normal]"/>
        <w:spacing w:line="360" w:lineRule="auto"/>
        <w:ind w:firstLine="1134"/>
        <w:jc w:val="both"/>
        <w:rPr>
          <w:lang w:val="es-AR" w:eastAsia="es-AR" w:bidi="es-AR"/>
        </w:rPr>
      </w:pPr>
      <w:r>
        <w:rPr>
          <w:lang w:val="es-AR" w:eastAsia="es-AR" w:bidi="es-AR"/>
        </w:rPr>
        <w:t xml:space="preserve">La contraria evacua el traslado sosteniendo la sinrazón del ataque del  demandado, y solicita la confirmación de lo decidido.-</w:t>
      </w:r>
    </w:p>
    <w:p>
      <w:pPr>
        <w:pStyle w:val="[Normal]"/>
        <w:spacing w:line="360" w:lineRule="auto"/>
        <w:ind w:firstLine="1134"/>
        <w:jc w:val="both"/>
        <w:rPr>
          <w:lang w:val="es-AR" w:eastAsia="es-AR" w:bidi="es-AR"/>
        </w:rPr>
      </w:pPr>
      <w:r>
        <w:rPr>
          <w:lang w:val="es-AR" w:eastAsia="es-AR" w:bidi="es-AR"/>
        </w:rPr>
        <w:t xml:space="preserve">Entrando a resolver y en relación al punto traído por el quejoso quien pretende la producción de una nueva pericia médica, nueva entrevista con la actora y de ser necesario informes a la institución médica correspondiente, a través de una medida ordenatoria introducida en sus agravios, adelanto desde su desestimación.-</w:t>
      </w:r>
    </w:p>
    <w:p>
      <w:pPr>
        <w:pStyle w:val="[Normal]"/>
        <w:spacing w:line="360" w:lineRule="auto"/>
        <w:ind w:firstLine="1134"/>
        <w:jc w:val="both"/>
        <w:rPr>
          <w:lang w:val="es-AR" w:eastAsia="es-AR" w:bidi="es-AR"/>
        </w:rPr>
      </w:pPr>
      <w:r>
        <w:rPr>
          <w:lang w:val="es-AR" w:eastAsia="es-AR" w:bidi="es-AR"/>
        </w:rPr>
        <w:t xml:space="preserve">Por una parte esta Alzada ha dicho reiteradamente que la producción de prueba en segunda instancia tiene carácter de excepción y los supuestos de admisibilidad son de interpretación restrictiva (conf. CAP N° 2339 RSI 162/15 del 17-7-2015; N° 1541 RSI 324/12 del 26-12-2012; N° 1494 RSI 254/12 del 25-10-2012; entre otras).-</w:t>
      </w:r>
    </w:p>
    <w:p>
      <w:pPr>
        <w:pStyle w:val="[Normal]"/>
        <w:spacing w:line="360" w:lineRule="auto"/>
        <w:ind w:firstLine="1134"/>
        <w:jc w:val="both"/>
        <w:rPr>
          <w:lang w:val="es-AR" w:eastAsia="es-AR" w:bidi="es-AR"/>
        </w:rPr>
      </w:pPr>
      <w:r>
        <w:rPr>
          <w:lang w:val="es-AR" w:eastAsia="es-AR" w:bidi="es-AR"/>
        </w:rPr>
        <w:t xml:space="preserve">En la especie , la petición se apontoca en  una medida para mejor proveer, diferenciada de la primera, pero tendiente a demostrar la existencia de un siniestro previo de la actora en el cual sufrió una lesión exactamente en la misma zona anatómica según afirma el quejoso. Y que también merece una respuesta negativa (art. 36 inc 2 del CPCC y su doctrina).-</w:t>
      </w:r>
    </w:p>
    <w:p>
      <w:pPr>
        <w:pStyle w:val="[Normal]"/>
        <w:spacing w:line="360" w:lineRule="auto"/>
        <w:ind w:firstLine="1134"/>
        <w:jc w:val="both"/>
        <w:rPr>
          <w:lang w:val="es-AR" w:eastAsia="es-AR" w:bidi="es-AR"/>
        </w:rPr>
      </w:pPr>
      <w:r>
        <w:rPr>
          <w:lang w:val="es-AR" w:eastAsia="es-AR" w:bidi="es-AR"/>
        </w:rPr>
        <w:t xml:space="preserve">Es que por una vía u otra, la sustitución de prueba o la pretensión de producción de la misma vulneraría el principio de contradicción, de oportunidad y de igualdad, conforme lo subraya la contraria en su escrito de responde la contraria. La negligencia en la producción de prueba no puede ser sustituida por el Tribunal.-</w:t>
      </w:r>
    </w:p>
    <w:p>
      <w:pPr>
        <w:pStyle w:val="[Normal]"/>
        <w:spacing w:line="360" w:lineRule="auto"/>
        <w:ind w:firstLine="1134"/>
        <w:jc w:val="both"/>
        <w:rPr>
          <w:lang w:val="es-AR" w:eastAsia="es-AR" w:bidi="es-AR"/>
        </w:rPr>
      </w:pPr>
      <w:r>
        <w:rPr>
          <w:lang w:val="es-AR" w:eastAsia="es-AR" w:bidi="es-AR"/>
        </w:rPr>
        <w:t xml:space="preserve">Tal como nos enseña Morello "Las facultades de dictar las referidas medidas revisten carácter privativo, y son en definitiva una prerrogativa discrecional de la que está investido el intérprete, tal cual ha quedado concretado en el inc 2 del art. 36 (Suprema Corte Ac. y Sent. 939-IV-484 entre otros) Cfr autor citado "Códigos procesales Comentados y Anotados T II.-</w:t>
      </w:r>
    </w:p>
    <w:p>
      <w:pPr>
        <w:pStyle w:val="[Normal]"/>
        <w:spacing w:line="360" w:lineRule="auto"/>
        <w:ind w:firstLine="1134"/>
        <w:jc w:val="both"/>
        <w:rPr>
          <w:lang w:val="es-AR" w:eastAsia="es-AR" w:bidi="es-AR"/>
        </w:rPr>
      </w:pPr>
      <w:r>
        <w:rPr>
          <w:lang w:val="es-AR" w:eastAsia="es-AR" w:bidi="es-AR"/>
        </w:rPr>
        <w:t xml:space="preserve">"También hay que tener en cuenta que bajo el ropaje de medidas para mejor proveer puede solaparse una verdadera afrenta al derecho de defensa de alguno de los litigantes, al desbordar ostensiblemente el marco procesal en el que fueron concebidas por el legislador" Cfr autor citado T II.-</w:t>
      </w:r>
    </w:p>
    <w:p>
      <w:pPr>
        <w:pStyle w:val="[Normal]"/>
        <w:spacing w:line="360" w:lineRule="auto"/>
        <w:ind w:firstLine="1134"/>
        <w:jc w:val="both"/>
        <w:rPr>
          <w:lang w:val="es-AR" w:eastAsia="es-AR" w:bidi="es-AR"/>
        </w:rPr>
      </w:pPr>
      <w:r>
        <w:rPr>
          <w:lang w:val="es-AR" w:eastAsia="es-AR" w:bidi="es-AR"/>
        </w:rPr>
        <w:t xml:space="preserve">Entonces el significado de las facultades ordenatorias no es tomar el lugar de las partes, ni suplir la falta de prueba o la insuficiencia de una de ellas, pues de otro modo por su propia iniciativa tramitaría otra vez el pleito, lo que resulta inaceptable en tanto se vulnerarían normas del proceso civil.  La medida judicial no puede suplir el error, la omisión, la inactividad del litigante, en tanto su finalidad es aclarar dudas que suscite el estudio de la causa, y que no es el caso aquí.-</w:t>
      </w:r>
    </w:p>
    <w:p>
      <w:pPr>
        <w:pStyle w:val="[Normal]"/>
        <w:spacing w:line="360" w:lineRule="auto"/>
        <w:ind w:firstLine="1134"/>
        <w:jc w:val="both"/>
        <w:rPr>
          <w:lang w:val="es-AR" w:eastAsia="es-AR" w:bidi="es-AR"/>
        </w:rPr>
      </w:pPr>
      <w:r>
        <w:rPr>
          <w:lang w:val="es-AR" w:eastAsia="es-AR" w:bidi="es-AR"/>
        </w:rPr>
        <w:t xml:space="preserve">Debe puntualizarse que las facultades instructorias que se confieren al juzgador no deben lesionar el derecho de defensa (como bien lo puntualiza la contraria en su responde), ni pueden ser invocadas para suplir una negligencia probatoria y debe resguardarse el principio dispositivo y la igualdad procesal. C. Nac. Com. Sala A LL 1980-A-207 cfr Morello Obra citada.-</w:t>
      </w:r>
    </w:p>
    <w:p>
      <w:pPr>
        <w:pStyle w:val="[Normal]"/>
        <w:spacing w:line="360" w:lineRule="auto"/>
        <w:ind w:firstLine="1134"/>
        <w:jc w:val="both"/>
        <w:rPr>
          <w:lang w:val="es-AR" w:eastAsia="es-AR" w:bidi="es-AR"/>
        </w:rPr>
      </w:pPr>
      <w:r>
        <w:rPr>
          <w:lang w:val="es-AR" w:eastAsia="es-AR" w:bidi="es-AR"/>
        </w:rPr>
        <w:t xml:space="preserve">Es inadmisible entonces la propuesta deslizada por el quejoso.</w:t>
      </w:r>
    </w:p>
    <w:p>
      <w:pPr>
        <w:pStyle w:val="[Normal]"/>
        <w:spacing w:line="360" w:lineRule="auto"/>
        <w:ind w:firstLine="1134"/>
        <w:jc w:val="both"/>
        <w:rPr>
          <w:lang w:val="es-AR" w:eastAsia="es-AR" w:bidi="es-AR"/>
        </w:rPr>
      </w:pPr>
      <w:r>
        <w:rPr>
          <w:lang w:val="es-AR" w:eastAsia="es-AR" w:bidi="es-AR"/>
        </w:rPr>
        <w:t xml:space="preserve">El segundo achaque lo apontoca en el salario tomado por el aquo como base de ingreso para realizar la cuantificación, señalando que es significativamente más alto que el que cobraba la actora y que dicho importe no tiene sustento alguno. Le asiste razón.-</w:t>
      </w:r>
    </w:p>
    <w:p>
      <w:pPr>
        <w:pStyle w:val="[Normal]"/>
        <w:spacing w:line="360" w:lineRule="auto"/>
        <w:ind w:firstLine="1134"/>
        <w:jc w:val="both"/>
        <w:rPr>
          <w:lang w:val="es-AR" w:eastAsia="es-AR" w:bidi="es-AR"/>
        </w:rPr>
      </w:pPr>
      <w:r>
        <w:rPr>
          <w:lang w:val="es-AR" w:eastAsia="es-AR" w:bidi="es-AR"/>
        </w:rPr>
        <w:t xml:space="preserve">Desde ya cabe precisar que el daño por incapacidad permanente, sea física o psíquica, posee naturaleza resarcitoria y está destinado a compensar la merma en la aptitud general de la víctima para desplegar sus actividades productivas y existenciales (arts. 1738, 1746 CCyC). Su cuantificación mediante fórmulas matemáticas constituye una herramienta auxiliar orientada a dotar de razonabilidad y proporcionalidad a la reparación, pero sin sustituir el prudente arbitrio judicial.</w:t>
      </w:r>
    </w:p>
    <w:p>
      <w:pPr>
        <w:pStyle w:val="[Normal]"/>
        <w:spacing w:line="360" w:lineRule="auto"/>
        <w:ind w:firstLine="1134"/>
        <w:jc w:val="both"/>
        <w:rPr>
          <w:lang w:val="es-AR" w:eastAsia="es-AR" w:bidi="es-AR"/>
        </w:rPr>
      </w:pPr>
      <w:r>
        <w:rPr>
          <w:lang w:val="es-AR" w:eastAsia="es-AR" w:bidi="es-AR"/>
        </w:rPr>
        <w:t xml:space="preserve">Ingresando en el análisis específico del agravio vinculado a la cuantificación del daño por incapacidad sobreviniente, es dable referenciar que la actora sostiene que el salario tomado como base por el a quo no reflejaría sus ingresos reales al momento del pronunciamiento, y pretende por ello que se consideren los recibos de sueldo acompañados recién en esta instancia.</w:t>
      </w:r>
    </w:p>
    <w:p>
      <w:pPr>
        <w:pStyle w:val="[Normal]"/>
        <w:spacing w:line="360" w:lineRule="auto"/>
        <w:ind w:firstLine="1134"/>
        <w:jc w:val="both"/>
        <w:rPr>
          <w:lang w:val="es-AR" w:eastAsia="es-AR" w:bidi="es-AR"/>
        </w:rPr>
      </w:pPr>
      <w:r>
        <w:rPr>
          <w:lang w:val="es-AR" w:eastAsia="es-AR" w:bidi="es-AR"/>
        </w:rPr>
        <w:t xml:space="preserve">No hay referencia alguna del operador para fundar el monto de $ 800.000 mensual utilizado para el proceso de cuantificación del rubro, limitándose a decir  que el valor actual de la remuneración asciende a esa suma sin especificación alguna.-</w:t>
      </w:r>
    </w:p>
    <w:p>
      <w:pPr>
        <w:pStyle w:val="[Normal]"/>
        <w:spacing w:line="360" w:lineRule="auto"/>
        <w:ind w:firstLine="1134"/>
        <w:jc w:val="both"/>
        <w:rPr>
          <w:lang w:val="es-AR" w:eastAsia="es-AR" w:bidi="es-AR"/>
        </w:rPr>
      </w:pPr>
      <w:r>
        <w:rPr>
          <w:lang w:val="es-AR" w:eastAsia="es-AR" w:bidi="es-AR"/>
        </w:rPr>
        <w:t xml:space="preserve">Esto contrasta con la prueba rendida en autos, donde efectivamente y como lo señala el quejoso, obra oficio remitido por la empresa Itallimpia-Nardi S. A. donde el apoderado de la firma hace saber que los 10 recibos acompañados son auténticos.-</w:t>
      </w:r>
    </w:p>
    <w:p>
      <w:pPr>
        <w:pStyle w:val="[Normal]"/>
        <w:spacing w:line="360" w:lineRule="auto"/>
        <w:ind w:firstLine="1134"/>
        <w:jc w:val="both"/>
        <w:rPr>
          <w:lang w:val="es-AR" w:eastAsia="es-AR" w:bidi="es-AR"/>
        </w:rPr>
      </w:pPr>
      <w:r>
        <w:rPr>
          <w:lang w:val="es-AR" w:eastAsia="es-AR" w:bidi="es-AR"/>
        </w:rPr>
        <w:t xml:space="preserve">Dicha documentos están agregados en autos y el último es del 5/04/2023 donde se detalla la categoría de operador y el neto a cobrar de $ 164.109,76.-</w:t>
      </w:r>
    </w:p>
    <w:p>
      <w:pPr>
        <w:pStyle w:val="[Normal]"/>
        <w:spacing w:line="360" w:lineRule="auto"/>
        <w:ind w:firstLine="1134"/>
        <w:jc w:val="both"/>
        <w:rPr>
          <w:lang w:val="es-AR" w:eastAsia="es-AR" w:bidi="es-AR"/>
        </w:rPr>
      </w:pPr>
      <w:r>
        <w:rPr>
          <w:lang w:val="es-AR" w:eastAsia="es-AR" w:bidi="es-AR"/>
        </w:rPr>
        <w:t xml:space="preserve">Este es el importe que debió tomar el aquo con los ajustes propios y no un importe cuya procedencia no explica ni fundamenta.</w:t>
      </w:r>
    </w:p>
    <w:p>
      <w:pPr>
        <w:pStyle w:val="[Normal]"/>
        <w:spacing w:line="360" w:lineRule="auto"/>
        <w:ind w:firstLine="1134"/>
        <w:jc w:val="both"/>
        <w:rPr>
          <w:lang w:val="es-AR" w:eastAsia="es-AR" w:bidi="es-AR"/>
        </w:rPr>
      </w:pPr>
      <w:r>
        <w:rPr>
          <w:lang w:val="es-AR" w:eastAsia="es-AR" w:bidi="es-AR"/>
        </w:rPr>
        <w:t xml:space="preserve">Entonces de la prueba rendida se extrae que al mes de abril de 2023 la actora tenía como remuneración la suma consignada de $ 164.109,76, ello debe ser recompuesto tomando dicho importe y adicionando la tasa pasiva mas alta desde esa fecha hasta el efectivo pago Y entre el hecho generador del siniestro y la fecha correspondiente al citado recibo se aplicará la tasa pura del 6% anual.-</w:t>
      </w:r>
    </w:p>
    <w:p>
      <w:pPr>
        <w:pStyle w:val="[Normal]"/>
        <w:spacing w:line="360" w:lineRule="auto"/>
        <w:ind w:firstLine="1134"/>
        <w:jc w:val="both"/>
        <w:rPr>
          <w:lang w:val="es-AR" w:eastAsia="es-AR" w:bidi="es-AR"/>
        </w:rPr>
      </w:pPr>
      <w:r>
        <w:rPr>
          <w:lang w:val="es-AR" w:eastAsia="es-AR" w:bidi="es-AR"/>
        </w:rPr>
        <w:t xml:space="preserve">Reiterada doctrina de este Tribunal señala: "Establecer que para el cálculo de los intereses deberá aplicarse la ya mentada alícuota del 6% anual [tasa de interés puro], la que corresponderá ser impuesta al crédito indemnizatorio en cuestión desde que se hayan producido los perjuicios considerados conforme el juez a quo establecido en la sentencia, y hasta el momento tenido en cuenta para la evaluación de la deuda (arts. 772 y 1748, Cód. Civ. y Com.).  De allí en más, resultará aplicable la tasa de interés [tasa pasiva más alta en los depósitos a treinta días] establecida en las causas C. 101.774, "Ponce" y L. 94.446, "Ginossi" (ambas sents. de 21-X-2009) y C. 119.176, "Cabrera" (sent. de 15-VI-2016) (SCBA, "Vera, Juan Carlos contra Provincia de Buenos Aires. Daños y perjuicios", causa C. 120.536, 18/04/2018; SCJBA, "Nidera S. A. contra Provincia de Buenos Aires. Daños y perjuicios", C. 121.134, 3/5/2018).-</w:t>
      </w:r>
    </w:p>
    <w:p>
      <w:pPr>
        <w:pStyle w:val="[Normal]"/>
        <w:spacing w:line="360" w:lineRule="auto"/>
        <w:ind w:firstLine="1134"/>
        <w:jc w:val="both"/>
        <w:rPr>
          <w:lang w:val="es-AR" w:eastAsia="es-AR" w:bidi="es-AR"/>
        </w:rPr>
      </w:pPr>
      <w:r>
        <w:rPr>
          <w:lang w:val="es-AR" w:eastAsia="es-AR" w:bidi="es-AR"/>
        </w:rPr>
        <w:t xml:space="preserve">Este mecanismo es el que deberá tomarse en cuenta para efectuar los cálculos correspondientes al rubro puesto en crisis, tarea que se efectuará en primera instancia.-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demandada, dejando sin efecto el importe correspondiente al rubro incapacidad física. Y ordenando al operador de primera instancia que proceda a recalcular el mismo del modo descripto en los considerandos del presente, tomando como base el ingreso acreditado como allí se explica.-</w:t>
      </w:r>
    </w:p>
    <w:p>
      <w:pPr>
        <w:pStyle w:val="[Normal]"/>
        <w:spacing w:line="360" w:lineRule="auto"/>
        <w:ind w:firstLine="1134"/>
        <w:jc w:val="both"/>
        <w:rPr>
          <w:lang w:val="es-AR" w:eastAsia="es-AR" w:bidi="es-AR"/>
        </w:rPr>
      </w:pPr>
      <w:r>
        <w:rPr>
          <w:lang w:val="es-AR" w:eastAsia="es-AR" w:bidi="es-AR"/>
        </w:rPr>
        <w:t xml:space="preserve">Rechazar el pedido de medida para mejor proveer planteado por la parte demandada.-</w:t>
      </w:r>
    </w:p>
    <w:p>
      <w:pPr>
        <w:pStyle w:val="[Normal]"/>
        <w:spacing w:line="360" w:lineRule="auto"/>
        <w:ind w:firstLine="1134"/>
        <w:jc w:val="both"/>
        <w:rPr>
          <w:lang w:val="es-AR" w:eastAsia="es-AR" w:bidi="es-AR"/>
        </w:rPr>
      </w:pPr>
      <w:r>
        <w:rPr>
          <w:lang w:val="es-AR" w:eastAsia="es-AR" w:bidi="es-AR"/>
        </w:rPr>
        <w:t xml:space="preserve">Costas de Alzada en un 70% a cargo de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hasta tanto obre en autos liquidación firme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demandada, dejando sin efecto el importe correspondiente al rubro incapacidad física. Y ordenando al operador de primera instancia que proceda a recalcular el mismo del modo descripto en los considerandos del presente, tomando como base el ingreso acreditado como allí se explica.-</w:t>
      </w:r>
    </w:p>
    <w:p>
      <w:pPr>
        <w:pStyle w:val="[Normal]"/>
        <w:spacing w:line="360" w:lineRule="auto"/>
        <w:ind w:firstLine="1134"/>
        <w:jc w:val="both"/>
        <w:rPr>
          <w:lang w:val="es-AR" w:eastAsia="es-AR" w:bidi="es-AR"/>
        </w:rPr>
      </w:pPr>
      <w:r>
        <w:rPr>
          <w:lang w:val="es-AR" w:eastAsia="es-AR" w:bidi="es-AR"/>
        </w:rPr>
        <w:t xml:space="preserve">Rechazar el pedido de medida para mejor proveer planteado por la parte demandada.-</w:t>
      </w:r>
    </w:p>
    <w:p>
      <w:pPr>
        <w:pStyle w:val="[Normal]"/>
        <w:spacing w:line="360" w:lineRule="auto"/>
        <w:ind w:firstLine="1134"/>
        <w:jc w:val="both"/>
        <w:rPr>
          <w:lang w:val="es-AR" w:eastAsia="es-AR" w:bidi="es-AR"/>
        </w:rPr>
      </w:pPr>
      <w:r>
        <w:rPr>
          <w:lang w:val="es-AR" w:eastAsia="es-AR" w:bidi="es-AR"/>
        </w:rPr>
        <w:t xml:space="preserve">Costas de Alzada en un 70% a cargo de la parte demandada (art. 68 del CPCC y su doctrina).-</w:t>
      </w:r>
    </w:p>
    <w:p>
      <w:pPr>
        <w:pStyle w:val="[Normal]"/>
        <w:spacing w:line="360" w:lineRule="auto"/>
        <w:ind w:firstLine="1134"/>
        <w:jc w:val="both"/>
        <w:rPr>
          <w:b/>
          <w:lang w:val="es-AR" w:eastAsia="es-AR" w:bidi="es-AR"/>
        </w:rPr>
      </w:pPr>
      <w:r>
        <w:rPr>
          <w:lang w:val="es-AR" w:eastAsia="es-AR" w:bidi="es-AR"/>
        </w:rPr>
        <w:t xml:space="preserve">Diferir la regulación hasta tanto obre en autos liquidación firme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27221056030@NOTIFICACIONES.SCBA.GOV.AR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23298328119@NOTIFICACIONES.SCBA.GOV.AR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12:43:33 -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12:52:14 -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13:47:22 -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‰8S")è&amp;iv:~Š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245102090006738626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11/12/2025 13:47:42 hs. bajo el número RS-179-2025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