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5841-25</w:t>
      </w:r>
      <w:r>
        <w:rPr>
          <w:lang w:val="es-AR" w:eastAsia="es-AR" w:bidi="es-AR"/>
        </w:rPr>
        <w:t xml:space="preserve"> caratulada </w:t>
      </w:r>
      <w:r>
        <w:rPr>
          <w:b/>
          <w:lang w:val="es-AR" w:eastAsia="es-AR" w:bidi="es-AR"/>
        </w:rPr>
        <w:t xml:space="preserve">"</w:t>
      </w:r>
      <w:r>
        <w:rPr>
          <w:b/>
          <w:color w:val="000000"/>
          <w:lang w:val="es-AR" w:eastAsia="es-AR" w:bidi="es-AR"/>
        </w:rPr>
        <w:t xml:space="preserve">CREDINEGOCIOS MOSCASIL S.A.  C/ CASTAÑO MARIA CELESTE Y OTROS S/ COBRO EJECUTIVO</w:t>
      </w:r>
      <w:r>
        <w:rPr>
          <w:b/>
          <w:lang w:val="es-AR" w:eastAsia="es-AR" w:bidi="es-AR"/>
        </w:rPr>
        <w:t xml:space="preserve">"</w:t>
      </w:r>
      <w:r>
        <w:rPr>
          <w:lang w:val="es-AR" w:eastAsia="es-AR" w:bidi="es-AR"/>
        </w:rPr>
        <w:t xml:space="preserve">, Expte. </w:t>
      </w:r>
      <w:r>
        <w:rPr>
          <w:color w:val="000000"/>
          <w:lang w:val="es-AR" w:eastAsia="es-AR" w:bidi="es-AR"/>
        </w:rPr>
        <w:t xml:space="preserve">68.060</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rechazó la impugnación deducida por la parte ejecutada mediante presentación electrónica de fecha 29/05/2025 y aprobó la liquidación correspondiente en la suma de Tres Millones Ciento Cuarenta y Cinco Mil Novecientos Veintiséis con 18 centavos ($3.145.926,18).</w:t>
      </w:r>
    </w:p>
    <w:p>
      <w:pPr>
        <w:pStyle w:val="[Normal]"/>
        <w:spacing w:line="360" w:lineRule="auto"/>
        <w:ind w:firstLine="1134"/>
        <w:jc w:val="both"/>
        <w:rPr>
          <w:lang w:val="es-AR" w:eastAsia="es-AR" w:bidi="es-AR"/>
        </w:rPr>
      </w:pPr>
      <w:r>
        <w:rPr>
          <w:lang w:val="es-AR" w:eastAsia="es-AR" w:bidi="es-AR"/>
        </w:rPr>
        <w:t xml:space="preserve">Tal decisorio fue objeto del recurso apelación interpuesto por la parte demandada en fecha 1-9-2025, concedido el día 4-9-2025 en relación y con efecto suspensivo, habiendo la contraria contestado el traslado conferido el 12-9-2025.  </w:t>
      </w:r>
    </w:p>
    <w:p>
      <w:pPr>
        <w:pStyle w:val="[Normal]"/>
        <w:spacing w:line="360" w:lineRule="auto"/>
        <w:ind w:firstLine="1134"/>
        <w:jc w:val="both"/>
        <w:rPr>
          <w:lang w:val="es-AR" w:eastAsia="es-AR" w:bidi="es-AR"/>
        </w:rPr>
      </w:pPr>
      <w:r>
        <w:rPr>
          <w:lang w:val="es-AR" w:eastAsia="es-AR" w:bidi="es-AR"/>
        </w:rPr>
        <w:t xml:space="preserve">Elevados los autos a esta Alzada, el día 23-9-2025 se dicta el llamamiento de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recurrente sostiene que la sentencia apelada vulnera el régimen de protección al consumidor al no morigerar los intereses aplicados en una relación de consumo con la actora. Argumentan que el juez de primera instancia omitió aplicar los principios de tutela, igualdad y equilibrio contractual previstos en el artículo 42 de la Constitución Nacional y en los artículos 1092 y 1095 del Código Civil y Comercial. </w:t>
      </w:r>
    </w:p>
    <w:p>
      <w:pPr>
        <w:pStyle w:val="[Normal]"/>
        <w:spacing w:line="360" w:lineRule="auto"/>
        <w:ind w:firstLine="1134"/>
        <w:jc w:val="both"/>
        <w:rPr>
          <w:lang w:val="es-AR" w:eastAsia="es-AR" w:bidi="es-AR"/>
        </w:rPr>
      </w:pPr>
      <w:r>
        <w:rPr>
          <w:lang w:val="es-AR" w:eastAsia="es-AR" w:bidi="es-AR"/>
        </w:rPr>
        <w:t xml:space="preserve">Impugna la liquidación aprobada la cual eleva una deuda original de $1.068.333 a más de $3.145.926,18 aplicando una tasa moratoria equivalente al 170% de la tasa activa del Banco Provincia, lo que califica como usurario y abusivo.</w:t>
      </w:r>
    </w:p>
    <w:p>
      <w:pPr>
        <w:pStyle w:val="[Normal]"/>
        <w:spacing w:line="360" w:lineRule="auto"/>
        <w:ind w:firstLine="1134"/>
        <w:jc w:val="both"/>
        <w:rPr>
          <w:lang w:val="es-AR" w:eastAsia="es-AR" w:bidi="es-AR"/>
        </w:rPr>
      </w:pPr>
      <w:r>
        <w:rPr>
          <w:lang w:val="es-AR" w:eastAsia="es-AR" w:bidi="es-AR"/>
        </w:rPr>
        <w:t xml:space="preserve">Invoca el artículo 771 del Código Civil y Comercial que faculta a los jueces a reducir los intereses desproporcionados. Cita precedentes jurisprudenciales que avalan la morigeración judicial de intereses y la prohibición de la capitalización (anatocismo) establecida en el artículo 770.</w:t>
      </w:r>
    </w:p>
    <w:p>
      <w:pPr>
        <w:pStyle w:val="[Normal]"/>
        <w:spacing w:line="360" w:lineRule="auto"/>
        <w:ind w:firstLine="1134"/>
        <w:jc w:val="both"/>
        <w:rPr>
          <w:lang w:val="es-AR" w:eastAsia="es-AR" w:bidi="es-AR"/>
        </w:rPr>
      </w:pPr>
      <w:r>
        <w:rPr>
          <w:lang w:val="es-AR" w:eastAsia="es-AR" w:bidi="es-AR"/>
        </w:rPr>
        <w:t xml:space="preserve">Señala la situación de vulnerabilidad de la Sra. Garay, jubilada del IPS. Añaden que la falta de información brindada por la actora respecto de las condiciones del crédito constituye una infracción a la Ley 24.240. Enfatizan que es obligación del Poder Judicial garantizar acciones positivas que eviten el sobreendeudamiento de los consumidores financieros.</w:t>
      </w:r>
    </w:p>
    <w:p>
      <w:pPr>
        <w:pStyle w:val="[Normal]"/>
        <w:spacing w:line="360" w:lineRule="auto"/>
        <w:ind w:firstLine="1134"/>
        <w:jc w:val="both"/>
        <w:rPr>
          <w:lang w:val="es-AR" w:eastAsia="es-AR" w:bidi="es-AR"/>
        </w:rPr>
      </w:pPr>
      <w:r>
        <w:rPr>
          <w:lang w:val="es-AR" w:eastAsia="es-AR" w:bidi="es-AR"/>
        </w:rPr>
        <w:t xml:space="preserve">Por otro lado alega la improcedencia de los intereses conforme al Decreto-Ley 5965/63, ya que el pagaré en cuestión es a fecha fija y, por tanto, la cláusula de intereses debe considerarse no escrita. </w:t>
      </w:r>
    </w:p>
    <w:p>
      <w:pPr>
        <w:pStyle w:val="[Normal]"/>
        <w:spacing w:line="360" w:lineRule="auto"/>
        <w:ind w:firstLine="1134"/>
        <w:jc w:val="both"/>
        <w:rPr>
          <w:lang w:val="es-AR" w:eastAsia="es-AR" w:bidi="es-AR"/>
        </w:rPr>
      </w:pPr>
      <w:r>
        <w:rPr>
          <w:lang w:val="es-AR" w:eastAsia="es-AR" w:bidi="es-AR"/>
        </w:rPr>
        <w:t xml:space="preserve">También denuncia la omisión del juez de expedirse sobre los gastos incluidos en la liquidación por sellado del documento. Solicita la revocación de la sentencia en crisis, la corrección de la liquidación y la aplicación de la tasa activa del Banco Provincia con descuento a 30 días, conforme al principio de protección del consumidor.</w:t>
      </w:r>
    </w:p>
    <w:p>
      <w:pPr>
        <w:pStyle w:val="[Normal]"/>
        <w:spacing w:line="360" w:lineRule="auto"/>
        <w:ind w:firstLine="1134"/>
        <w:jc w:val="both"/>
        <w:rPr>
          <w:lang w:val="es-AR" w:eastAsia="es-AR" w:bidi="es-AR"/>
        </w:rPr>
      </w:pPr>
      <w:r>
        <w:rPr>
          <w:lang w:val="es-AR" w:eastAsia="es-AR" w:bidi="es-AR"/>
        </w:rPr>
        <w:t xml:space="preserve">La contraria al contestar el traslado conferido solicita en primer termino se declare desierto el recurso interpuesto. Como segundo punto rebate los argumentos expuestos por el apelante y peticiona el rechazo del recurso deducido con costas.</w:t>
      </w:r>
    </w:p>
    <w:p>
      <w:pPr>
        <w:pStyle w:val="[Normal]"/>
        <w:spacing w:line="360" w:lineRule="auto"/>
        <w:ind w:firstLine="1134"/>
        <w:jc w:val="both"/>
        <w:rPr>
          <w:lang w:val="es-AR" w:eastAsia="es-AR" w:bidi="es-AR"/>
        </w:rPr>
      </w:pPr>
      <w:r>
        <w:rPr>
          <w:color w:val="000000"/>
          <w:lang w:val="es-AR" w:eastAsia="es-AR" w:bidi="es-AR"/>
        </w:rPr>
        <w:t xml:space="preserve">En relación a la cuestión introducida expresamente por la parte actora en su responde relativa al incumplimiento de los recaudos establecidos por el art. 260 del CPCC</w:t>
      </w:r>
      <w:r>
        <w:rPr>
          <w:lang w:val="es-AR" w:eastAsia="es-AR" w:bidi="es-AR"/>
        </w:rPr>
        <w:t xml:space="preserve">, cabe señalar que de la lectura del memorial arrimado por la demandada se advierte una crítica concreta y razonada del fallo apelado que logra superar mínimamente  las exigencias técnicas previstas por el ritual en la materia, por lo que abastece el tratamiento del remedio recursivo (art. 18 del CN).	</w:t>
      </w:r>
    </w:p>
    <w:p>
      <w:pPr>
        <w:pStyle w:val="[Normal]"/>
        <w:spacing w:line="360" w:lineRule="auto"/>
        <w:ind w:firstLine="1134"/>
        <w:jc w:val="both"/>
        <w:rPr>
          <w:lang w:val="es-AR" w:eastAsia="es-AR" w:bidi="es-AR"/>
        </w:rPr>
      </w:pPr>
      <w:r>
        <w:rPr>
          <w:lang w:val="es-AR" w:eastAsia="es-AR" w:bidi="es-AR"/>
        </w:rPr>
        <w:t xml:space="preserve">Ya en tarea de resolver y habiendo efectuado un análisis de las presentes actuaciones surge que el 27-5-2025 se dictó sentencia de trance y remate, la cual se encuentra firme y consentida. En la misma se condenó a los codemandados al íntegro pago del capital reclamado de $ 1.068.333 con más los intereses pactados a partir de la fecha de la mora dispuesta el 3-9-2023, es decir, la aplicación de una vez y media la tasa activa que aplica el Banco de la Provincia de Buenos Aires. Asimismo se incluyó en la sentencia la capitalización de los intereses, conforme art. 770 inc. b del CCyC.</w:t>
      </w:r>
    </w:p>
    <w:p>
      <w:pPr>
        <w:pStyle w:val="[Normal]"/>
        <w:spacing w:line="360" w:lineRule="auto"/>
        <w:ind w:firstLine="1134"/>
        <w:jc w:val="both"/>
        <w:rPr>
          <w:lang w:val="es-AR" w:eastAsia="es-AR" w:bidi="es-AR"/>
        </w:rPr>
      </w:pPr>
      <w:r>
        <w:rPr>
          <w:lang w:val="es-AR" w:eastAsia="es-AR" w:bidi="es-AR"/>
        </w:rPr>
        <w:t xml:space="preserve"> De ahí que una vez firme la misma, los dispositivos que contiene para arribar a la suma debida quedan comprendidos en los efectos de la cosa juzgada, siendo improcedente modificar en esta etapa las bases previstas para la liquidación. Ejemplo de ello es la tasa pactada, es decir aquella establecida en una vez y media la tasa activa del Banco Provincia, con capitalización desde la notificación de la demanda, con fundamento en el art. 770 inc. b del CCyC. Tal pauta no fue objeto de recurso oportuno por parte de la quejosa y, por ello, no puede ser revisada ahora bajo la forma de impugnación a la liquidación. El agravio de la demandada pretende, en definitiva, cuestionar los criterios fijados en la sentencia firme y reabrir una discusión que en esta instancia procesal ya ha sido alcanzada por el efectos del principio de preclusión.</w:t>
      </w:r>
    </w:p>
    <w:p>
      <w:pPr>
        <w:pStyle w:val="[Normal]"/>
        <w:spacing w:line="360" w:lineRule="auto"/>
        <w:ind w:firstLine="1134"/>
        <w:jc w:val="both"/>
        <w:rPr>
          <w:lang w:val="es-AR" w:eastAsia="es-AR" w:bidi="es-AR"/>
        </w:rPr>
      </w:pPr>
      <w:r>
        <w:rPr>
          <w:lang w:val="es-AR" w:eastAsia="es-AR" w:bidi="es-AR"/>
        </w:rPr>
        <w:t xml:space="preserve">Asimismo y en línea con lo expuesto, este Tribunal ya ha tenido oportunidad de pronunciarse en igual sentido. Por tal razón, corresponde reproducir aquel criterio, con el cual coincido plenamente: </w:t>
      </w:r>
      <w:r>
        <w:rPr>
          <w:i/>
          <w:lang w:val="es-AR" w:eastAsia="es-AR" w:bidi="es-AR"/>
        </w:rPr>
        <w:t xml:space="preserve">"... Además debe tenerse presente  que rige  en este procedimiento el principio de preclusión por el cual una facultad que no es ejercida en tiempo y forma se pierde, pues la preclusión opera como un impedimento o una imposibilidad: la facultad procesal no utilizada, se extingue, impidiendo que se retroceda a etapas procesales agotadas Al respecto se ha dicho que "es  sabido que no ejercida una facultad en tiempo y forma, la  misma  se  pierde  por cuanto la preclusión opera como un impedimento o una imposibilidad: la facultad procesal no utilizada, se extingue" (confr. SCBA, Ac.75777 del 13/6/01 ent. ots.) y "...si una cuestión ha quedado definitivamente resuelta en sentencia firme, no puede ser nuevamente examinada y menos decidida en sentido distinto" </w:t>
      </w:r>
      <w:r>
        <w:rPr>
          <w:lang w:val="es-AR" w:eastAsia="es-AR" w:bidi="es-AR"/>
        </w:rPr>
        <w:t xml:space="preserve">(confr.  SCBA,  Ac.92718 del 26/4/06 ent. ots.)" (CAP Causa 191/09, RSD Nº 81/09). </w:t>
      </w:r>
    </w:p>
    <w:p>
      <w:pPr>
        <w:pStyle w:val="[Normal]"/>
        <w:spacing w:line="360" w:lineRule="auto"/>
        <w:ind w:firstLine="1134"/>
        <w:jc w:val="both"/>
        <w:rPr>
          <w:lang w:val="es-AR" w:eastAsia="es-AR" w:bidi="es-AR"/>
        </w:rPr>
      </w:pPr>
      <w:r>
        <w:rPr>
          <w:lang w:val="es-AR" w:eastAsia="es-AR" w:bidi="es-AR"/>
        </w:rPr>
        <w:t xml:space="preserve">Ahora bien, corresponde analizar si la operación aritmética atacada, es decir la liquidación aprobada en la sentencia en crisis, es pasible de ser morigerada conforme los parámetros del art. 771 del CCyC.</w:t>
      </w:r>
    </w:p>
    <w:p>
      <w:pPr>
        <w:pStyle w:val="[Normal]"/>
        <w:spacing w:line="360" w:lineRule="auto"/>
        <w:ind w:firstLine="1134"/>
        <w:jc w:val="both"/>
        <w:rPr>
          <w:lang w:val="es-AR" w:eastAsia="es-AR" w:bidi="es-AR"/>
        </w:rPr>
      </w:pPr>
      <w:r>
        <w:rPr>
          <w:lang w:val="es-AR" w:eastAsia="es-AR" w:bidi="es-AR"/>
        </w:rPr>
        <w:t xml:space="preserve">Al respecto cabe señalar que ésta Cámara ha establecido como criterio de morigeración la utilización de un límite máximo equivalente a una vez y media la tasa activa del Banco Provincia, pauta justamente aplicada acordada por las partes y fijada en la sentencia de trance y remate que como mencionamos, se encuentra firme y consentida. (CAP N° 4124/20, RSI 156/21 de fecha 5/8/2021, N° 1601 RSI 40/2013 de fecha 4/3/2013, N°5030/23 de fecha 30-11-2023 ).</w:t>
      </w:r>
    </w:p>
    <w:p>
      <w:pPr>
        <w:pStyle w:val="[Normal]"/>
        <w:spacing w:line="360" w:lineRule="auto"/>
        <w:ind w:firstLine="1134"/>
        <w:jc w:val="both"/>
        <w:rPr>
          <w:lang w:val="es-AR" w:eastAsia="es-AR" w:bidi="es-AR"/>
        </w:rPr>
      </w:pPr>
      <w:r>
        <w:rPr>
          <w:lang w:val="es-AR" w:eastAsia="es-AR" w:bidi="es-AR"/>
        </w:rPr>
        <w:t xml:space="preserve"> En esta tónica surge que el monto liquidado por la actora, aprobado en la sentencia en crisis, se ajusta estrictamente a dicho parámetro, sin que la apelante haya demostrado que los intereses aplicados excedan el costo medio del dinero para operaciones análogas ni que exista un abuso manifiesto que amerite, aun de oficio, apartarse del acuerdo obligacional.</w:t>
      </w:r>
    </w:p>
    <w:p>
      <w:pPr>
        <w:pStyle w:val="[Normal]"/>
        <w:spacing w:line="360" w:lineRule="auto"/>
        <w:ind w:firstLine="1134"/>
        <w:jc w:val="both"/>
        <w:rPr>
          <w:lang w:val="es-AR" w:eastAsia="es-AR" w:bidi="es-AR"/>
        </w:rPr>
      </w:pPr>
      <w:r>
        <w:rPr>
          <w:lang w:val="es-AR" w:eastAsia="es-AR" w:bidi="es-AR"/>
        </w:rPr>
        <w:t xml:space="preserve">En punto a la critica sobre la capitalización de intereses, advierto que la misma se encuentra acordada expresamente en el titulo base de esta ejecución (clausula quinta) y ha sido reclamada en la libelo de inicio por parte del ejecutante (ver presentación electrónica del 11-2-2025), ello conforme lo normado por el art. 770 inc b del CCyC. Por tanto ante el cumplimiento de tales recaudos el planteo ensayando por el quejoso deviene estéril.</w:t>
      </w:r>
    </w:p>
    <w:p>
      <w:pPr>
        <w:pStyle w:val="[Normal]"/>
        <w:spacing w:line="360" w:lineRule="auto"/>
        <w:ind w:firstLine="1134"/>
        <w:jc w:val="both"/>
        <w:rPr>
          <w:lang w:val="es-AR" w:eastAsia="es-AR" w:bidi="es-AR"/>
        </w:rPr>
      </w:pPr>
      <w:r>
        <w:rPr>
          <w:lang w:val="es-AR" w:eastAsia="es-AR" w:bidi="es-AR"/>
        </w:rPr>
        <w:t xml:space="preserve">Nuestra jurisprudencia ha dicho al respecto que </w:t>
      </w:r>
      <w:r>
        <w:rPr>
          <w:i/>
          <w:lang w:val="es-AR" w:eastAsia="es-AR" w:bidi="es-AR"/>
        </w:rPr>
        <w:t xml:space="preserve">"Si en la demanda se han reclamado los intereses, y en el acuerdo que instrumenta el mutuo se han fijado interés simple e interés compuesto, esto es la capitalización del interés pactado, ha de entenderse que el actor reclama ambos y que el deudor así debió entenderlo al suscribir el contrato y al anoticiarse del reclamo. A ello debo añadir que no puede interpretarse que el deudor ha renunciado a parte de sus derechos, siendo que toda renuncia debe ser expresa. Por ello considero que corresponde admitir los intereses convenidos, tanto los simples como los compuestos en la medida que éstos han sido pactados expresamente y con el límite del código"</w:t>
      </w:r>
      <w:r>
        <w:rPr>
          <w:lang w:val="es-AR" w:eastAsia="es-AR" w:bidi="es-AR"/>
        </w:rPr>
        <w:t xml:space="preserve"> (CC0201 LP 134555 307 S 24/10/2023 JUBA B259086).</w:t>
      </w:r>
    </w:p>
    <w:p>
      <w:pPr>
        <w:pStyle w:val="[Normal]"/>
        <w:spacing w:line="360" w:lineRule="auto"/>
        <w:ind w:firstLine="1134"/>
        <w:jc w:val="both"/>
        <w:rPr>
          <w:lang w:val="es-AR" w:eastAsia="es-AR" w:bidi="es-AR"/>
        </w:rPr>
      </w:pPr>
      <w:r>
        <w:rPr>
          <w:lang w:val="es-AR" w:eastAsia="es-AR" w:bidi="es-AR"/>
        </w:rPr>
        <w:t xml:space="preserve">Por otro lado los argumentos relativos a la omisión de aplicación del régimen del consumidor, tampoco logran conmover la solución adoptada. Sobre este punto entiendo que el juez de grado ponderó y aplicó especialmente la normativa consumeril vigente desde el inicio y lo largo de todo el proceso equilibrando las mismas con las normas propias que rigen este tipo de proceso ejecutivo (C. 121.684 "Asociación Mutual Asís contra Cubilla, María Ester. Cobro ejecutivo")</w:t>
      </w:r>
    </w:p>
    <w:p>
      <w:pPr>
        <w:pStyle w:val="[Normal]"/>
        <w:spacing w:line="360" w:lineRule="auto"/>
        <w:ind w:firstLine="1134"/>
        <w:jc w:val="both"/>
        <w:rPr>
          <w:lang w:val="es-AR" w:eastAsia="es-AR" w:bidi="es-AR"/>
        </w:rPr>
      </w:pPr>
      <w:r>
        <w:rPr>
          <w:lang w:val="es-AR" w:eastAsia="es-AR" w:bidi="es-AR"/>
        </w:rPr>
        <w:t xml:space="preserve">En cuanto al planteo fundado en el art. 5 del Decreto-Ley 5965/63, debe señalarse que la cláusula de intereses que contiene el pagaré fue incorporada en el marco de una operación crediticia subyacente cuya validez fue también expresamente recibida en la sentencia ejecutiva. La apelante no cuestionó en tiempo y forma la validez del título ni la aplicabilidad de los accesorios que surgen de la relación causal, razón por la cual el agravio resulta igualmente extemporáneo. </w:t>
      </w:r>
    </w:p>
    <w:p>
      <w:pPr>
        <w:pStyle w:val="[Normal]"/>
        <w:spacing w:line="360" w:lineRule="auto"/>
        <w:ind w:firstLine="1134"/>
        <w:jc w:val="both"/>
        <w:rPr>
          <w:lang w:val="es-AR" w:eastAsia="es-AR" w:bidi="es-AR"/>
        </w:rPr>
      </w:pPr>
      <w:r>
        <w:rPr>
          <w:lang w:val="es-AR" w:eastAsia="es-AR" w:bidi="es-AR"/>
        </w:rPr>
        <w:t xml:space="preserve">Por último, tampoco prospera el agravio concerniente a los gastos de sellado incluidos en la liquidación. La apelante no precisó en su expresión de agravios de qué modo tales gastos vulneran la normativa fiscal vigente, ni efectuó una crítica concreta y razonada de los fundamentos de la sentencia recurrida. El planteo formulado en términos meramente enunciativos, carece de desarrollo suficiente que permita habilitar la revisión.</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traído y en consecuencia confirmar el fallo apelado.</w:t>
      </w:r>
    </w:p>
    <w:p>
      <w:pPr>
        <w:pStyle w:val="[Normal]"/>
        <w:spacing w:line="360" w:lineRule="auto"/>
        <w:ind w:firstLine="1134"/>
        <w:jc w:val="both"/>
        <w:rPr>
          <w:lang w:val="es-AR" w:eastAsia="es-AR" w:bidi="es-AR"/>
        </w:rPr>
      </w:pPr>
      <w:r>
        <w:rPr>
          <w:lang w:val="es-AR" w:eastAsia="es-AR" w:bidi="es-AR"/>
        </w:rPr>
        <w:t xml:space="preserve">Imponer las costas al apelante devinto (art. 68 del CPCC).-</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en autos liquidación firme (art. 51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el recurso de apelación traído y en consecuencia confirmar el fallo apelado.</w:t>
      </w:r>
    </w:p>
    <w:p>
      <w:pPr>
        <w:pStyle w:val="[Normal]"/>
        <w:spacing w:line="360" w:lineRule="auto"/>
        <w:ind w:firstLine="1134"/>
        <w:jc w:val="both"/>
        <w:rPr>
          <w:lang w:val="es-AR" w:eastAsia="es-AR" w:bidi="es-AR"/>
        </w:rPr>
      </w:pPr>
      <w:r>
        <w:rPr>
          <w:lang w:val="es-AR" w:eastAsia="es-AR" w:bidi="es-AR"/>
        </w:rPr>
        <w:t xml:space="preserve">Imponer las costas al apelante devinto (art. 68 del CPCC).-</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en autos liquidación firme (art. 51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20286683372@NOTIFICACIONES.SCBA.GOV.AR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27364951448@NOTIFICACIONES.SCBA.GOV.AR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16/12/2025 10:58:03 -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16/12/2025 10:58:53 -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16/12/2025 11:36:28 -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‰8X")è&amp;ey"zŠ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245602090006698902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16/12/2025 11:36:40 hs. bajo el número RS-182-2025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