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Cámara de Apelación en lo Civil y Comercial del Departamento Judicial Pergamino, para dictar sentencia en la causa N° </w:t>
      </w:r>
      <w:r>
        <w:rPr>
          <w:color w:val="000000"/>
          <w:lang w:val="es-AR" w:eastAsia="es-AR" w:bidi="es-AR"/>
        </w:rPr>
        <w:t xml:space="preserve">5803-25</w:t>
      </w:r>
      <w:r>
        <w:rPr>
          <w:lang w:val="es-AR" w:eastAsia="es-AR" w:bidi="es-AR"/>
        </w:rPr>
        <w:t xml:space="preserve"> caratulada </w:t>
      </w:r>
      <w:r>
        <w:rPr>
          <w:b/>
          <w:lang w:val="es-AR" w:eastAsia="es-AR" w:bidi="es-AR"/>
        </w:rPr>
        <w:t xml:space="preserve">"</w:t>
      </w:r>
      <w:r>
        <w:rPr>
          <w:b/>
          <w:color w:val="000000"/>
          <w:lang w:val="es-AR" w:eastAsia="es-AR" w:bidi="es-AR"/>
        </w:rPr>
        <w:t xml:space="preserve">DIAZ CAMILA MICAELA C/ SALVADOR ANDRES FERNANDO Y OTRO/A S/ DAÑOS Y PERJ.AUTOM. C/LES. O MUERTE (EXC.ESTADO)</w:t>
      </w:r>
      <w:r>
        <w:rPr>
          <w:b/>
          <w:lang w:val="es-AR" w:eastAsia="es-AR" w:bidi="es-AR"/>
        </w:rPr>
        <w:t xml:space="preserve">"</w:t>
      </w:r>
      <w:r>
        <w:rPr>
          <w:lang w:val="es-AR" w:eastAsia="es-AR" w:bidi="es-AR"/>
        </w:rPr>
        <w:t xml:space="preserve">, Expte. N° 66.907 del Juzgado en lo Civil y Comercial N° 3,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Juez Roberto Manuel Degleue dijo: </w:t>
      </w:r>
    </w:p>
    <w:p>
      <w:pPr>
        <w:pStyle w:val="[Normal]"/>
        <w:spacing w:line="360" w:lineRule="auto"/>
        <w:ind w:firstLine="1134"/>
        <w:jc w:val="both"/>
        <w:rPr>
          <w:lang w:val="es-AR" w:eastAsia="es-AR" w:bidi="es-AR"/>
        </w:rPr>
      </w:pPr>
      <w:r>
        <w:rPr>
          <w:lang w:val="es-AR" w:eastAsia="es-AR" w:bidi="es-AR"/>
        </w:rPr>
        <w:t xml:space="preserve">El señor Juez de la anterior instancia hizo lugar a la demanda instaurada por Camila Micaela Díaz y condenó a Andrés Fernando Salvador, a Graneros y Elevadores de Colón Cooperativa Limitada y a La Segunda Cooperativa Limitada de Seguros Generales a abonar a la parte actora la suma de quince millones veinticinco mil cuatrocientos cincuenta y un pesos con 34/100 ($ 15.025.451,34), con más intereses. Aplicó las costas a la parte demandada y a la citada en garantía y difirió la regulación de honorarios de los letrados y peritos intervinientes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Mediante los escritos de fechas 22/8/2025, 21/8/2025 y 23/8/2025 apelaron la parte actora, el accionado Andrés Fernando Salvador y la citada en garantía respectivamente.</w:t>
      </w:r>
    </w:p>
    <w:p>
      <w:pPr>
        <w:pStyle w:val="[Normal]"/>
        <w:spacing w:line="360" w:lineRule="auto"/>
        <w:ind w:firstLine="1134"/>
        <w:jc w:val="both"/>
        <w:rPr>
          <w:lang w:val="es-AR" w:eastAsia="es-AR" w:bidi="es-AR"/>
        </w:rPr>
      </w:pPr>
      <w:r>
        <w:rPr>
          <w:lang w:val="es-AR" w:eastAsia="es-AR" w:bidi="es-AR"/>
        </w:rPr>
        <w:t xml:space="preserve">En fecha 21/9/2025 expresó sus agravios la accionante, mediante el escrito</w:t>
      </w:r>
      <w:r>
        <w:rPr>
          <w:b/>
          <w:lang w:val="es-AR" w:eastAsia="es-AR" w:bidi="es-AR"/>
        </w:rPr>
        <w:t xml:space="preserve"> </w:t>
      </w:r>
      <w:r>
        <w:rPr>
          <w:lang w:val="es-AR" w:eastAsia="es-AR" w:bidi="es-AR"/>
        </w:rPr>
        <w:t xml:space="preserve">de fecha 16/9/2025 el demandado y el día 2/10/2025 la aseguradora La Segunda Cooperativa Limitada de Seguros Generales.</w:t>
      </w:r>
    </w:p>
    <w:p>
      <w:pPr>
        <w:pStyle w:val="[Normal]"/>
        <w:spacing w:line="360" w:lineRule="auto"/>
        <w:ind w:firstLine="1134"/>
        <w:jc w:val="both"/>
        <w:rPr>
          <w:lang w:val="es-AR" w:eastAsia="es-AR" w:bidi="es-AR"/>
        </w:rPr>
      </w:pPr>
      <w:r>
        <w:rPr>
          <w:lang w:val="es-AR" w:eastAsia="es-AR" w:bidi="es-AR"/>
        </w:rPr>
        <w:t xml:space="preserve">Conferidos los traslados pertinentes, fueron evacuados mediante las presentaciones de fechas 19/10/2025 la actora, 20/10/2025 el demandado señor Salvador y 14/10/2025 la citada en garantía. Quedando incontestado el que fuera conferido a la co-accionada Graneros y Elevadores de Colón a quien se dio por perdido el derecho dejado de usar. </w:t>
      </w:r>
    </w:p>
    <w:p>
      <w:pPr>
        <w:pStyle w:val="[Normal]"/>
        <w:spacing w:line="360" w:lineRule="auto"/>
        <w:ind w:firstLine="1134"/>
        <w:jc w:val="both"/>
        <w:rPr>
          <w:lang w:val="es-AR" w:eastAsia="es-AR" w:bidi="es-AR"/>
        </w:rPr>
      </w:pPr>
      <w:r>
        <w:rPr>
          <w:lang w:val="es-AR" w:eastAsia="es-AR" w:bidi="es-AR"/>
        </w:rPr>
        <w:t xml:space="preserve">La actora se agravia, en primer término, de la atribución de culpa concurrente efectuada en la sentencia de primera instancia, que distribuye la responsabilidad en un 50% a la demandada y en un 50% al tercero conductor de la motocicleta. Sostiene que dicha conclusión se basa en una valoración deficiente, absurda y falaz de la prueba, con omisión de elementos relevantes obrantes en la IPP, particularmente el plano y las fotografías del lugar del hecho. Afirma que existían edificaciones y vegetación que obstaculizaban la visión en la intersección, circunstancia ignorada por el a quo, y que la pick up no detuvo su marcha pese a circular por la izquierda, violando la prioridad de paso de quien transitaba por la derecha. Destaca, además, la distancia a la que se detuvo el vehículo demandado luego del impacto como indicio de velocidad excesiva, y niega que se haya probado conducción imprudente o a alta velocidad de la motocicleta, concluyendo que corresponde atribuir la responsabilidad en forma exclusiva al conductor de la pick up.</w:t>
      </w:r>
    </w:p>
    <w:p>
      <w:pPr>
        <w:pStyle w:val="[Normal]"/>
        <w:spacing w:line="360" w:lineRule="auto"/>
        <w:ind w:firstLine="1134"/>
        <w:jc w:val="both"/>
        <w:rPr>
          <w:lang w:val="es-AR" w:eastAsia="es-AR" w:bidi="es-AR"/>
        </w:rPr>
      </w:pPr>
      <w:r>
        <w:rPr>
          <w:lang w:val="es-AR" w:eastAsia="es-AR" w:bidi="es-AR"/>
        </w:rPr>
        <w:t xml:space="preserve">En segundo lugar, se queja del monto reconocido por incapacidad parcial y permanente, al que califica de confiscatorio y alejado del principio de reparación integral. Cuestiona la utilización del Salario Mínimo Vital y Móvil vigente al momento de la sentencia por considerarlo depreciado, proponiendo que se tome el SMVM vigente al momento del hecho y se lo actualice por IPC, o bien se declare la inconstitucionalidad de la prohibición de indexar. Asimismo, objeta la fórmula empleada por el a quo y solicita la aplicación de criterios de liquidación que reflejen valores actuales, incorporando también un porcentaje adicional por las restantes aptitudes vitales y genéricas afectadas, todo ello con fundamento en normativa del Código Civil y Comercial y doctrina legal de la Suprema Corte de Justicia de la Provincia de Buenos Aires.</w:t>
      </w:r>
    </w:p>
    <w:p>
      <w:pPr>
        <w:pStyle w:val="[Normal]"/>
        <w:spacing w:line="360" w:lineRule="auto"/>
        <w:ind w:firstLine="1134"/>
        <w:jc w:val="both"/>
        <w:rPr>
          <w:lang w:val="es-AR" w:eastAsia="es-AR" w:bidi="es-AR"/>
        </w:rPr>
      </w:pPr>
      <w:r>
        <w:rPr>
          <w:lang w:val="es-AR" w:eastAsia="es-AR" w:bidi="es-AR"/>
        </w:rPr>
        <w:t xml:space="preserve">Finalmente se agravia del monto fijado en concepto de daño moral, que considera exiguo, máxime cuando incluye un porcentaje por daño estético. Señala que el criterio utilizado por el juez de grado para cuantificar el rubro no se corresponde con los costos reales de actividades recreativas en la actualidad y solicita que el importe sea incrementado, requiriendo concretamente que se duplique la suma reconocida a fin de lograr una reparación justa y adecuada al padecimiento sufrido.</w:t>
      </w:r>
    </w:p>
    <w:p>
      <w:pPr>
        <w:pStyle w:val="[Normal]"/>
        <w:spacing w:line="360" w:lineRule="auto"/>
        <w:ind w:firstLine="1134"/>
        <w:jc w:val="both"/>
        <w:rPr>
          <w:lang w:val="es-AR" w:eastAsia="es-AR" w:bidi="es-AR"/>
        </w:rPr>
      </w:pPr>
      <w:r>
        <w:rPr>
          <w:lang w:val="es-AR" w:eastAsia="es-AR" w:bidi="es-AR"/>
        </w:rPr>
        <w:t xml:space="preserve">A su turno, presenta su memorial el apoderado de la citada en garantía, quien se queja fundamentalmente en la atribución de responsabilidad en la producción del evento dañoso.-</w:t>
      </w:r>
    </w:p>
    <w:p>
      <w:pPr>
        <w:pStyle w:val="[Normal]"/>
        <w:spacing w:line="360" w:lineRule="auto"/>
        <w:ind w:firstLine="1134"/>
        <w:jc w:val="both"/>
        <w:rPr>
          <w:lang w:val="es-AR" w:eastAsia="es-AR" w:bidi="es-AR"/>
        </w:rPr>
      </w:pPr>
      <w:r>
        <w:rPr>
          <w:lang w:val="es-AR" w:eastAsia="es-AR" w:bidi="es-AR"/>
        </w:rPr>
        <w:t xml:space="preserve">Indica el a - quo, en el capítulo III.- responsabilidad de los considerandos de su sentencia, concluyó que el automotor se interpuso en la trayectoria de la motocicleta (como también lo indica la parte actora), y que “… de acuerdo al curso natural y ordinario de las cosas, el hecho de interponerse un automotor en la trayectoria de otro, resulta idóneo en casi la totalidad de los casos como para causar daños como los que se reclaman en autos”, lo cual y a su entender demuestran que el rodado automotor llegó antes a la encrucijada y que fue embestido por la motocicleta y que lo “natural y ordinario” es aplicar los frenos para evitar la colisión, cosa que no hizo el conductor de la motocicleta.-</w:t>
      </w:r>
    </w:p>
    <w:p>
      <w:pPr>
        <w:pStyle w:val="[Normal]"/>
        <w:spacing w:line="360" w:lineRule="auto"/>
        <w:ind w:firstLine="1134"/>
        <w:jc w:val="both"/>
        <w:rPr>
          <w:lang w:val="es-AR" w:eastAsia="es-AR" w:bidi="es-AR"/>
        </w:rPr>
      </w:pPr>
      <w:r>
        <w:rPr>
          <w:lang w:val="es-AR" w:eastAsia="es-AR" w:bidi="es-AR"/>
        </w:rPr>
        <w:t xml:space="preserve">Alega que a ello, debe sumarse que el conductor de dicha moto, el Sr. Rapalin, no contaba con licencia de conducir, lo que no es sólo una infracción administrativa como lo indica el Juez de grado. La falta de licencia habilitante hace presumir que la persona que carece de ella no cuenta con los conocimientos ni la idoneidad para conducir un rodado, en tanto que cuando no se cuenta con esos conocimientos y condiciones, no se otorga la licencia de conducir, por lo cual una persona sin licencia de conducir puede “manejar” un rodado, pero ello no significa que tenga todos los conocimientos de las normas de tránsito y la idoneidad práctica para conducir.</w:t>
      </w:r>
    </w:p>
    <w:p>
      <w:pPr>
        <w:pStyle w:val="[Normal]"/>
        <w:spacing w:line="360" w:lineRule="auto"/>
        <w:ind w:firstLine="1134"/>
        <w:jc w:val="both"/>
        <w:rPr>
          <w:lang w:val="es-AR" w:eastAsia="es-AR" w:bidi="es-AR"/>
        </w:rPr>
      </w:pPr>
      <w:r>
        <w:rPr>
          <w:lang w:val="es-AR" w:eastAsia="es-AR" w:bidi="es-AR"/>
        </w:rPr>
        <w:t xml:space="preserve">Destaca que nuestra jurisprudencia es conteste en aceptar la exclusión de responsabilidad de la aseguradora, en el caso de que el conductor transite sin licencia habilitante y en este caso justamente, el conductor sin licencia, el Sr. Rapalin, vio un vehículo en su trayectoria desde mucho antes de llegar al cruce y no frenó. Siguió su marcha, por lo que considera que la actitud de tal conductor, sumada a la falta de licencia de conducir, tienen la idoneidad para excluir en forma total al conductor del rodado asegurado, por ser actividad de un tercero la que interrumpe en forma total el nexo de causalidad.-</w:t>
      </w:r>
    </w:p>
    <w:p>
      <w:pPr>
        <w:pStyle w:val="[Normal]"/>
        <w:spacing w:line="360" w:lineRule="auto"/>
        <w:ind w:firstLine="1134"/>
        <w:jc w:val="both"/>
        <w:rPr>
          <w:lang w:val="es-AR" w:eastAsia="es-AR" w:bidi="es-AR"/>
        </w:rPr>
      </w:pPr>
      <w:r>
        <w:rPr>
          <w:lang w:val="es-AR" w:eastAsia="es-AR" w:bidi="es-AR"/>
        </w:rPr>
        <w:t xml:space="preserve">Por todo solicita que se revoque la sentencia de grado, atribuyendo la totalidad de la responsabilidad en la producción del evento dañoso al conductor de la motocicleta, Sr. Santiago Ariel Rapalin y se rechace la acción intentada contra los demandados y citada en garantía con costas.</w:t>
      </w:r>
    </w:p>
    <w:p>
      <w:pPr>
        <w:pStyle w:val="[Normal]"/>
        <w:spacing w:line="360" w:lineRule="auto"/>
        <w:ind w:firstLine="1134"/>
        <w:jc w:val="both"/>
        <w:rPr>
          <w:lang w:val="es-AR" w:eastAsia="es-AR" w:bidi="es-AR"/>
        </w:rPr>
      </w:pPr>
      <w:r>
        <w:rPr>
          <w:lang w:val="es-AR" w:eastAsia="es-AR" w:bidi="es-AR"/>
        </w:rPr>
        <w:t xml:space="preserve">Ambas partes realizan las contestaciones de los respectivos agravios y solicitan el rechazo de los mismos.-</w:t>
      </w:r>
    </w:p>
    <w:p>
      <w:pPr>
        <w:pStyle w:val="[Normal]"/>
        <w:spacing w:line="360" w:lineRule="auto"/>
        <w:ind w:firstLine="1134"/>
        <w:jc w:val="both"/>
        <w:rPr>
          <w:lang w:val="es-AR" w:eastAsia="es-AR" w:bidi="es-AR"/>
        </w:rPr>
      </w:pPr>
      <w:r>
        <w:rPr>
          <w:lang w:val="es-AR" w:eastAsia="es-AR" w:bidi="es-AR"/>
        </w:rPr>
        <w:t xml:space="preserve">Entrando a resolver, he de principiar el análisis por la responsabilidad en el evento, aspecto que viene cuestionado por todos los apelantes.</w:t>
      </w:r>
    </w:p>
    <w:p>
      <w:pPr>
        <w:pStyle w:val="[Normal]"/>
        <w:spacing w:line="360" w:lineRule="auto"/>
        <w:ind w:firstLine="1134"/>
        <w:jc w:val="both"/>
        <w:rPr>
          <w:lang w:val="es-AR" w:eastAsia="es-AR" w:bidi="es-AR"/>
        </w:rPr>
      </w:pPr>
      <w:r>
        <w:rPr>
          <w:lang w:val="es-AR" w:eastAsia="es-AR" w:bidi="es-AR"/>
        </w:rPr>
        <w:t xml:space="preserve">Y , para ello he de comenzar por destacar, tal como lo hiciera el a quo, que "... </w:t>
      </w:r>
      <w:r>
        <w:rPr>
          <w:i/>
          <w:lang w:val="es-AR" w:eastAsia="es-AR" w:bidi="es-AR"/>
        </w:rPr>
        <w:t xml:space="preserve">mediante el acta de procedimiento de Fs. 2 Vta. de la causa penal (IPP 12-01-000795-22/00 de la UFI N° 2 de Colón, que fuera ofrecida como prueba y tengo ante mi en este acto), se han acreditado las circunstancias de tiempo y de lugar, los rodados que participaron del hecho, las personas que los ocupaban y conducían. De tal modo juzgaré probado que el día 15/06/22, alrededor de las 14 Hs., en la intersección de las calles 46 y 133 de la ciudad de Colón (B), tuvo lugar el incidente de tránsito del que participaron: una motocicleta marca Honda, dominio A148HPU, conducida por Santiago Ariel Rapalin, en la que era transportada la actora Diaz; y, una pick up Ford, dominio AC068NE, guiada por Andrés Fernando Salvador. Que, sobre la mecánica del hecho, el informe pericial realizado en la causa penal antes citada, estableció que: " ... la unidad Honda circulaba por calle 46, con dirección noreste - suroeste, es decir, con su frente de avance dirigido hacia el suroeste, y la unidad Ford por la calzada 133, con dirección sureste - noroeste, es decir con su frente de avance hacia el noroeste." Determinó la perito actuante que: "La zona de impacto ... se halla en el cuadrante norte de la intersección-"; y, dictaminó que la motocicleta, que circulaba por calle 46 " ... por motivos que se deberán establecer, al arribar a la intersección con calle 133, colisiona con su frente en el lateral anterior derecho, de la unidad Ford ... en una secuencia donde la unidad Honda, protagoniza una colisión del tipo frontal, y la unidad Ford una colisión del tipo lateral anterior derecha.-" Finalmente, el informe pericial atribuyó a la motocicleta el carácter de embestidor físico mecánico y a la pick up el de embestido. Que, entonces y a tenor del informe pericial parcialmente transcripto, juzgaré acreditado que el incidente de tránsito motivo de autos, se produjo del modo descripto por la experta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 tal suerte que en nuestro caso, como lo entendiera el a quo, ha existido contribución causal de ambos protagonistas del hecho motivo de autos y en el porcentaje que bien y atinadamente concluyera en su sentencia, por lo que las quejas desarrolladas por los apelante no pueden tener favorable acogida.</w:t>
      </w:r>
    </w:p>
    <w:p>
      <w:pPr>
        <w:pStyle w:val="[Normal]"/>
        <w:spacing w:line="360" w:lineRule="auto"/>
        <w:ind w:firstLine="1134"/>
        <w:jc w:val="both"/>
        <w:rPr>
          <w:lang w:val="es-AR" w:eastAsia="es-AR" w:bidi="es-AR"/>
        </w:rPr>
      </w:pPr>
      <w:r>
        <w:rPr>
          <w:lang w:val="es-AR" w:eastAsia="es-AR" w:bidi="es-AR"/>
        </w:rPr>
        <w:t xml:space="preserve">En efecto, de las probanzas colectadas, principalmente de la causa penal I.P.P. N° 12-01-000795-22/00 caratulada "Rapalín, Santiago Ariel y ots. s/Lesiones Culposas", como primera apreciación destaco como lo señalara muy claramente el Juez de Garantías y que despeja toda duda al respecto que pudieran haber introducido los apelantes, es que ".... </w:t>
      </w:r>
      <w:r>
        <w:rPr>
          <w:u w:val="single"/>
          <w:lang w:val="es-AR" w:eastAsia="es-AR" w:bidi="es-AR"/>
        </w:rPr>
        <w:t xml:space="preserve">de lo actuado surge que las calles 133 y 46 de Colón, en el lugar en que se cruzan son de doble circulación y que ninguna de ellas es avenida</w:t>
      </w:r>
      <w:r>
        <w:rPr>
          <w:lang w:val="es-AR" w:eastAsia="es-AR" w:bidi="es-AR"/>
        </w:rPr>
        <w:t xml:space="preserve">. Que ambas calles son de la misma jerarquía, ello según lo que surge de los informes emitidos por la Municipalidad de Colón  ver informes de fs. 91 y 95/97" (Fs. 114 de la causa penal de referencia, que tengo ante mi y el subrayado me pertenece".</w:t>
      </w:r>
    </w:p>
    <w:p>
      <w:pPr>
        <w:pStyle w:val="[Normal]"/>
        <w:spacing w:line="360" w:lineRule="auto"/>
        <w:ind w:firstLine="1134"/>
        <w:jc w:val="both"/>
        <w:rPr>
          <w:lang w:val="es-AR" w:eastAsia="es-AR" w:bidi="es-AR"/>
        </w:rPr>
      </w:pPr>
      <w:r>
        <w:rPr>
          <w:lang w:val="es-AR" w:eastAsia="es-AR" w:bidi="es-AR"/>
        </w:rPr>
        <w:t xml:space="preserve">Es decir y como primer razonamiento entiendo que en el presente hecho y pese a la explicación brindada por el sentenciante, sobre prioridad de paso en avenidas o vías de mayor jerarquía, en la ocasión no aplica, por lo que la crítica del demandado Salvador, apoyada en la circulación por una "vía de mayor envergadura" no tiene ninguna valoración objetiva, mas allá de su propio parecer.</w:t>
      </w:r>
    </w:p>
    <w:p>
      <w:pPr>
        <w:pStyle w:val="[Normal]"/>
        <w:spacing w:line="360" w:lineRule="auto"/>
        <w:ind w:firstLine="1134"/>
        <w:jc w:val="both"/>
        <w:rPr>
          <w:lang w:val="es-AR" w:eastAsia="es-AR" w:bidi="es-AR"/>
        </w:rPr>
      </w:pPr>
      <w:r>
        <w:rPr>
          <w:lang w:val="es-AR" w:eastAsia="es-AR" w:bidi="es-AR"/>
        </w:rPr>
        <w:t xml:space="preserve">En relación a la queja que viene expuesta por la parte actora, relativa a la alegada " ... falta y deficiente valoración de la prueba...", ello en cuanto a que el a quo ha errado en la apreciación del "entorno geográfico en que sucedió el hecho...", aspecto que no encuentro desatinado como pretende el recurrente.</w:t>
      </w:r>
    </w:p>
    <w:p>
      <w:pPr>
        <w:pStyle w:val="[Normal]"/>
        <w:spacing w:line="360" w:lineRule="auto"/>
        <w:ind w:firstLine="1134"/>
        <w:jc w:val="both"/>
        <w:rPr>
          <w:lang w:val="es-AR" w:eastAsia="es-AR" w:bidi="es-AR"/>
        </w:rPr>
      </w:pPr>
      <w:r>
        <w:rPr>
          <w:lang w:val="es-AR" w:eastAsia="es-AR" w:bidi="es-AR"/>
        </w:rPr>
        <w:t xml:space="preserve">Es que y mas allá de las fotografías agregadas a la causa penal que acrediten la existencia de "... plantas y edificación " o " ... cualquier otro objeto que pudiera impedir apreciar con mucha antelación la presencia de tránsito", entiendo que la apreciación efectuada en sentencia es correcta y no surge de un subjetivo entendimiento del sentenciante primero, sino que ello viene refrendado por la prueba colectada en autos.</w:t>
      </w:r>
    </w:p>
    <w:p>
      <w:pPr>
        <w:pStyle w:val="[Normal]"/>
        <w:spacing w:line="360" w:lineRule="auto"/>
        <w:ind w:firstLine="1134"/>
        <w:jc w:val="both"/>
        <w:rPr>
          <w:lang w:val="es-AR" w:eastAsia="es-AR" w:bidi="es-AR"/>
        </w:rPr>
      </w:pPr>
      <w:r>
        <w:rPr>
          <w:lang w:val="es-AR" w:eastAsia="es-AR" w:bidi="es-AR"/>
        </w:rPr>
        <w:t xml:space="preserve">En efecto, es que en oportunidad de prestar declaración testimonial, la Sra. Camila Micaela Diaz, esposa del conductor de la moto y acompañante en la ocasión del mismo,  declaró que "..</w:t>
      </w:r>
      <w:r>
        <w:rPr>
          <w:i/>
          <w:lang w:val="es-AR" w:eastAsia="es-AR" w:bidi="es-AR"/>
        </w:rPr>
        <w:t xml:space="preserve">.Ese día yo iba con mi marido Santiago en moto, por calle 46 en la dirección que va desde la zona rural para el lado del centro , ya que iba la casa de mi mamá que es en calle 9 y 57. Por calle 133 en dirección desde el Bv. 50 hacia la avenida 42 venía una chata. </w:t>
      </w:r>
      <w:r>
        <w:rPr>
          <w:i/>
          <w:u w:val="single"/>
          <w:lang w:val="es-AR" w:eastAsia="es-AR" w:bidi="es-AR"/>
        </w:rPr>
        <w:t xml:space="preserve">Mi marido estaba por cruzar la esquina, cuando alcance a ver la chata yo intente decirle a mi marido que frene pero no atine a nada  porque enseguida sentí el impacto contra la chata y cuando abri los ojos estabamos en el piso. La chata venía fuertísimo, mi marido iba a pasar porque le correspondia el paso, pensó que iba a frenar</w:t>
      </w:r>
      <w:r>
        <w:rPr>
          <w:lang w:val="es-AR" w:eastAsia="es-AR" w:bidi="es-AR"/>
        </w:rPr>
        <w:t xml:space="preserve">" (Fs. 59/vta. de la causa penal que he referido anteriormente y el subrayado me pertenece).</w:t>
      </w:r>
    </w:p>
    <w:p>
      <w:pPr>
        <w:pStyle w:val="[Normal]"/>
        <w:spacing w:line="360" w:lineRule="auto"/>
        <w:ind w:firstLine="1134"/>
        <w:jc w:val="both"/>
        <w:rPr>
          <w:lang w:val="es-AR" w:eastAsia="es-AR" w:bidi="es-AR"/>
        </w:rPr>
      </w:pPr>
      <w:r>
        <w:rPr>
          <w:lang w:val="es-AR" w:eastAsia="es-AR" w:bidi="es-AR"/>
        </w:rPr>
        <w:t xml:space="preserve">He destacado parte de su declaración (prestada a solo un mes de acontecido el hecho), a los efectos de dar por tierra la crítica de la actora en cuanto a que el a quo efectuó una errónea valoración de la prueba, en tanto que si la Sra. Diaz, quien se encontraba como acompañante de la moto pudo ver la circulación de la camioneta antes de arribar al cruce, y no su marido -conductor de la motocicleta-, confirma lo decidido en sentencia que: "La circulación de la pick up por la vía transversal no solo era previsible, era claramente visible. Y, es en este escenario que la sumatoria de las infracciones del conductor de la moto, cobran relevancia. Una persona habilitada para conducir (arg. Art. 40 Inc. a), C.T.), atenta a las circunstancias del tránsito y que circulara con cuidado y prevención, manteniendo en todo momento el control de su conducido (Art. 39 Inc. b) C. T.), habría evitado o, al menos, aminorado notoriamente las consecuencias dañosas del impacto.".</w:t>
      </w:r>
    </w:p>
    <w:p>
      <w:pPr>
        <w:pStyle w:val="[Normal]"/>
        <w:spacing w:line="360" w:lineRule="auto"/>
        <w:ind w:firstLine="1134"/>
        <w:jc w:val="both"/>
        <w:rPr>
          <w:lang w:val="es-AR" w:eastAsia="es-AR" w:bidi="es-AR"/>
        </w:rPr>
      </w:pPr>
      <w:r>
        <w:rPr>
          <w:lang w:val="es-AR" w:eastAsia="es-AR" w:bidi="es-AR"/>
        </w:rPr>
        <w:t xml:space="preserve">Por otra parte, no existen mas testigos del hecho, pese a que la misma señora Diaz identificó a una persona femenina, de nombre "Eliana" quien y según los propios dichos de la propia declarante habría "visto todo", sin embargo no se presentó el testimonio de la referenciada ni en la causa penal referida ni en las presentes actuaciones.</w:t>
      </w:r>
    </w:p>
    <w:p>
      <w:pPr>
        <w:pStyle w:val="[Normal]"/>
        <w:spacing w:line="360" w:lineRule="auto"/>
        <w:ind w:firstLine="1134"/>
        <w:jc w:val="both"/>
        <w:rPr>
          <w:lang w:val="es-AR" w:eastAsia="es-AR" w:bidi="es-AR"/>
        </w:rPr>
      </w:pPr>
      <w:r>
        <w:rPr>
          <w:lang w:val="es-AR" w:eastAsia="es-AR" w:bidi="es-AR"/>
        </w:rPr>
        <w:t xml:space="preserve">En cuanto a la prioridad de paso que invoca la accionante, no es absoluta en tanto que y como lo ha señalado la Corte bonaerense : "... la regla derecha antes que izquierda no representa ningún ´bill de indemnidad´ que autorice al que aparece por la derecha de otro vehículo a arrasar con todo lo que encuentre a su izquierda (cfr. C. 101.402, sent. de 11-8-2010; C. 104.558, sent. de 11-5-2011; etc.). Tal prioridad que -en principio- es absoluta, no puede ser evaluada en forma autónoma sino, por el contrario, imbricada en el contexto general de las normas de tránsito, analizando su vigencia en correspondencia con la simultánea existencia de otras infracciones y en correlación, también, con los preceptos del Código Civil que disciplinan la responsabilidad por daños". En consecuencia, concluyó el Alto Tribunal que: "Está viciada por el absurdo la sentencia que exime de toda responsabilidad al conductor por considerar solamente que portaba la prioridad de paso en el cruce, lo cual importa un juicio de valor manifiestamente distorsionado, al soslayar las restantes circunstancias acreditadas de la causa como son: su carácter de embistente, la ubicación del punto de impacto y la potencia de la colisión. Ellas demuestran que el accionado hizo caso omiso de la regla que manda "circular con el debido cuidado y prevención, conservando en todo momento el dominio efectivo del vehículo o animal, teniendo en cuenta los riesgos propios de la circulación y demás circunstancias del tránsito" (cfr. art. 39, ley 24.449). Tal incumplimiento resulta idóneo para incidir en la producción y mecánica del evento, por lo cual no puede sostenerse su irresponsabilidad en el siniestro" (SCBA LP C 120758 S 29/08/2017 Juez PETTIGIANI (MA), Carátula: Del Palacio, Alexis Claudio Damián contra Pertini, Esteban Hernán y otro. Daños y perjuicios).</w:t>
      </w:r>
    </w:p>
    <w:p>
      <w:pPr>
        <w:pStyle w:val="[Normal]"/>
        <w:spacing w:line="360" w:lineRule="auto"/>
        <w:ind w:firstLine="1134"/>
        <w:jc w:val="both"/>
        <w:rPr>
          <w:lang w:val="es-AR" w:eastAsia="es-AR" w:bidi="es-AR"/>
        </w:rPr>
      </w:pPr>
      <w:r>
        <w:rPr>
          <w:lang w:val="es-AR" w:eastAsia="es-AR" w:bidi="es-AR"/>
        </w:rPr>
        <w:t xml:space="preserve">Sin perjuicio de ello, lo que sella desde esta altura del análisis la suerte del reclamo, puede agregarse que el suceso se produjo efectivamente debido a que en la ocasión, también el motociclista no respetó las normas de tránsito, principalmente la que impone a todo conductor el deber de "circular con cuidado y prevención, conservando en todo momento el dominio efectivo del vehículo, teniendo en cuenta los riesgos propios de la circulación y demás circunstancias de tránsito" (art. 39 de la ley 13.927 y sus complementarias 24.449 y 26.363, por adhesión efectuada en el art. 1 del Nuevo Código de Tránsito de la Provincia de Buenos Aires, Ley 13.927).- </w:t>
      </w:r>
    </w:p>
    <w:p>
      <w:pPr>
        <w:pStyle w:val="[Normal]"/>
        <w:spacing w:line="360" w:lineRule="auto"/>
        <w:ind w:firstLine="1134"/>
        <w:jc w:val="both"/>
        <w:rPr>
          <w:lang w:val="es-AR" w:eastAsia="es-AR" w:bidi="es-AR"/>
        </w:rPr>
      </w:pPr>
      <w:r>
        <w:rPr>
          <w:lang w:val="es-AR" w:eastAsia="es-AR" w:bidi="es-AR"/>
        </w:rPr>
        <w:t xml:space="preserve">Cuestión ésta, en la que influye, a contrario de lo sostenido por el apelante, la falta de licencia de conducir, ya que ello no es meramente una falta administrativa, por el contrario, los arts. 39 y 40 de la ley 13.927 y sus complementarias 24.449 y 26.363 establecen claramente las condiciones para conducir y los requisitos para circular, previendo el inc a) del art. 40 que el primordial requisito de la circulación es que "su conductor esté habilitado para conducir ese tipo de vehículo y que lleve consigo la licencia correspondiente", presupuesto que no ha sido cumplido por quien protagonizó el accidente.-</w:t>
      </w:r>
    </w:p>
    <w:p>
      <w:pPr>
        <w:pStyle w:val="[Normal]"/>
        <w:spacing w:line="360" w:lineRule="auto"/>
        <w:ind w:firstLine="1134"/>
        <w:jc w:val="both"/>
        <w:rPr>
          <w:lang w:val="es-AR" w:eastAsia="es-AR" w:bidi="es-AR"/>
        </w:rPr>
      </w:pPr>
      <w:r>
        <w:rPr>
          <w:lang w:val="es-AR" w:eastAsia="es-AR" w:bidi="es-AR"/>
        </w:rPr>
        <w:t xml:space="preserve">La parte actora en su responde del escrito de agravios pretende minimizar estas circunstancias empero, si bien cierto es que no inciden en la cadena causal en forma relevante, evidencian estos incumplimientos una imprudencia y negligencia en la conducción de la cosa generadora de riesgos y graves infracciones administrativas que no pueden pasar desapercibidas al colocarse en clara vulneración de la normativa que regula el tránsito vehicular, de lo cual se desprende que esa conducta disvaliosa no puede ser omitida por el derecho o causar indiferencia debiendo soportar una proporción en la responsabilidad.- (cfr. Causa 1897/13 de este mismo Tribunal).-</w:t>
      </w:r>
    </w:p>
    <w:p>
      <w:pPr>
        <w:pStyle w:val="[Normal]"/>
        <w:spacing w:line="360" w:lineRule="auto"/>
        <w:ind w:firstLine="1134"/>
        <w:jc w:val="both"/>
        <w:rPr>
          <w:lang w:val="es-AR" w:eastAsia="es-AR" w:bidi="es-AR"/>
        </w:rPr>
      </w:pPr>
      <w:r>
        <w:rPr>
          <w:lang w:val="es-AR" w:eastAsia="es-AR" w:bidi="es-AR"/>
        </w:rPr>
        <w:t xml:space="preserve">"Las reglamentaciones de tránsito no pueden ser soslayadas y deben ser consideradas, junto con otras circunstancias, en oportunidad de calificar la conducta de la víctima o del tercero para determinar si ha ocurrido o no -y en su caso en que extensión- la situación prevista en la parte final del segundo apartado del art.1113 del Cód. Civil. (confr. SCBA LP C 99805 S 11/05/2011; SCBA LP Ac 84867 S 03/03/2004, ent. ots.).-</w:t>
      </w:r>
    </w:p>
    <w:p>
      <w:pPr>
        <w:pStyle w:val="[Normal]"/>
        <w:spacing w:line="360" w:lineRule="auto"/>
        <w:ind w:firstLine="1134"/>
        <w:jc w:val="both"/>
        <w:rPr>
          <w:lang w:val="es-AR" w:eastAsia="es-AR" w:bidi="es-AR"/>
        </w:rPr>
      </w:pPr>
      <w:r>
        <w:rPr>
          <w:lang w:val="es-AR" w:eastAsia="es-AR" w:bidi="es-AR"/>
        </w:rPr>
        <w:t xml:space="preserve">Frente a este cuadro de situación, la tesis recursiva según la cual el mero hecho de que por arribar desde la derecha  bastaría para desplazar íntegramente la responsabilidad hacia el demandado resulta insostenible. </w:t>
      </w:r>
    </w:p>
    <w:p>
      <w:pPr>
        <w:pStyle w:val="[Normal]"/>
        <w:spacing w:line="360" w:lineRule="auto"/>
        <w:ind w:firstLine="1134"/>
        <w:jc w:val="both"/>
        <w:rPr>
          <w:lang w:val="es-AR" w:eastAsia="es-AR" w:bidi="es-AR"/>
        </w:rPr>
      </w:pPr>
      <w:r>
        <w:rPr>
          <w:lang w:val="es-AR" w:eastAsia="es-AR" w:bidi="es-AR"/>
        </w:rPr>
        <w:t xml:space="preserve">En definitiva, el a quo no desatendió la regla de prioridad; por el contrario, las ponderó expresamente, pero concluyó -con razonamiento que este Tribunal comparte- que la infracción atribuible al demandado no alcanzaba, en el contexto probatorio de la causa, para desplazar la incidencia causal del obrar del motociclista. El agravio, al limitarse a reeditar la versión argüida en la instancia anterior, sin rebatir de modo concreto y eficaz la valoración conjunta de la prueba y las propias manifestaciones de la acompañante y a la vez víctima de autos, no logra evidenciar error de hecho ni de derecho en la sentencia recurrida.</w:t>
      </w:r>
    </w:p>
    <w:p>
      <w:pPr>
        <w:pStyle w:val="[Normal]"/>
        <w:spacing w:line="360" w:lineRule="auto"/>
        <w:ind w:firstLine="1134"/>
        <w:jc w:val="both"/>
        <w:rPr>
          <w:lang w:val="es-AR" w:eastAsia="es-AR" w:bidi="es-AR"/>
        </w:rPr>
      </w:pPr>
      <w:r>
        <w:rPr>
          <w:lang w:val="es-AR" w:eastAsia="es-AR" w:bidi="es-AR"/>
        </w:rPr>
        <w:t xml:space="preserve">Por otra parte, como destacara el a quo no se ha comprobado excesiva velocidad, ni tampoco se ha desconocido el carácter de embistente por parte del motociclista, como erróneamente señala la apoderada de la citada en garantía, sino que se ha efectuado una correcta distribución causal de la responsabilidad en el evento de acuerdo a las pruebas aportadas, aspecto que desde aquí se confirma en un todo.-</w:t>
      </w:r>
    </w:p>
    <w:p>
      <w:pPr>
        <w:pStyle w:val="[Normal]"/>
        <w:spacing w:line="360" w:lineRule="auto"/>
        <w:ind w:firstLine="1134"/>
        <w:jc w:val="both"/>
        <w:rPr>
          <w:lang w:val="es-AR" w:eastAsia="es-AR" w:bidi="es-AR"/>
        </w:rPr>
      </w:pPr>
      <w:r>
        <w:rPr>
          <w:lang w:val="es-AR" w:eastAsia="es-AR" w:bidi="es-AR"/>
        </w:rPr>
        <w:t xml:space="preserve">En lo que respecta al agravio formulado por la parte actora contra el monto reconocido en concepto de incapacidad parcial y permanente, adelanto que no puede prosperar.</w:t>
      </w:r>
    </w:p>
    <w:p>
      <w:pPr>
        <w:pStyle w:val="[Normal]"/>
        <w:spacing w:line="360" w:lineRule="auto"/>
        <w:ind w:firstLine="1134"/>
        <w:jc w:val="both"/>
        <w:rPr>
          <w:lang w:val="es-AR" w:eastAsia="es-AR" w:bidi="es-AR"/>
        </w:rPr>
      </w:pPr>
      <w:r>
        <w:rPr>
          <w:lang w:val="es-AR" w:eastAsia="es-AR" w:bidi="es-AR"/>
        </w:rPr>
        <w:t xml:space="preserve">Sostiene la recurrente que la suma establecida resulta confiscatoria y contraria al principio de reparación plena consagrado en el artículo 1740 del Código Civil y Comercial de la Nación, en tanto se apoya en un valor base –el Salario Mínimo Vital y Móvil vigente al momento de la sentencia– que considera depreciado. Propone, en su lugar, adoptar como base el SMVM vigente al momento del hecho, actualizado por IPC, o bien declarar la inconstitucionalidad de la prohibición de indexar. A ello suma la crítica a la fórmula empleada por el sentenciante de grado y reclama la incorporación de un adicional por afectación de aptitudes vitales no estrictamente laborales.</w:t>
      </w:r>
    </w:p>
    <w:p>
      <w:pPr>
        <w:pStyle w:val="[Normal]"/>
        <w:spacing w:line="360" w:lineRule="auto"/>
        <w:ind w:firstLine="1134"/>
        <w:jc w:val="both"/>
        <w:rPr>
          <w:lang w:val="es-AR" w:eastAsia="es-AR" w:bidi="es-AR"/>
        </w:rPr>
      </w:pPr>
      <w:r>
        <w:rPr>
          <w:lang w:val="es-AR" w:eastAsia="es-AR" w:bidi="es-AR"/>
        </w:rPr>
        <w:t xml:space="preserve">El planteo debe examinarse desde una doble perspectiva: por un lado, la metodología empleada por el a quo para cuantificar la incapacidad, y por otro, el cumplimiento del estándar de reparación integral, conforme a los parámetros que emergen del bloque normativo aplicable y de la doctrina legal vigente.</w:t>
      </w:r>
    </w:p>
    <w:p>
      <w:pPr>
        <w:pStyle w:val="[Normal]"/>
        <w:spacing w:line="360" w:lineRule="auto"/>
        <w:ind w:firstLine="1134"/>
        <w:jc w:val="both"/>
        <w:rPr>
          <w:lang w:val="es-AR" w:eastAsia="es-AR" w:bidi="es-AR"/>
        </w:rPr>
      </w:pPr>
      <w:r>
        <w:rPr>
          <w:lang w:val="es-AR" w:eastAsia="es-AR" w:bidi="es-AR"/>
        </w:rPr>
        <w:t xml:space="preserve">En primer término, cabe señalar que el Juez de primera instancia aplicó una fórmula matemática tradicional que pondera el porcentaje de incapacidad, la edad de la víctima, su expectativa de vida útil y un ingreso base tomado del SMVM. Esta metodología, si bien discutible en algunos aspectos, no se presenta como irrazonable ni arbitraria, especialmente cuando, como en el caso, no se ha probado un ingreso específico ni una actividad económica concreta por parte de la víctima al momento del hecho.</w:t>
      </w:r>
    </w:p>
    <w:p>
      <w:pPr>
        <w:pStyle w:val="[Normal]"/>
        <w:spacing w:line="360" w:lineRule="auto"/>
        <w:ind w:firstLine="1134"/>
        <w:jc w:val="both"/>
        <w:rPr>
          <w:lang w:val="es-AR" w:eastAsia="es-AR" w:bidi="es-AR"/>
        </w:rPr>
      </w:pPr>
      <w:r>
        <w:rPr>
          <w:lang w:val="es-AR" w:eastAsia="es-AR" w:bidi="es-AR"/>
        </w:rPr>
        <w:t xml:space="preserve">Esta Alzada, ya se ha expedido en torno a que cuando se ha acreditado que la persona incapacitada tenía actividad laboral, pero no se puede establecer el monto de los ingresos "... </w:t>
      </w:r>
      <w:r>
        <w:rPr>
          <w:i/>
          <w:lang w:val="es-AR" w:eastAsia="es-AR" w:bidi="es-AR"/>
        </w:rPr>
        <w:t xml:space="preserve">lo más apropiado es adoptar aquí la pauta del salario mínimo, vital y móvil como lo he sostenido en otros casos traídos a revisión. Sobre este punto, la Sala II de la Cámara de Apelaciones Civil y Comercial de Mar del Plata ha sostenido que: "Cuando se carece de una pauta económica sobre la cual evaluar la incapacidad, se recurre al salario mínimo vital y móvil como índice orientador ya que es totalmente incierto el monto de los ingresos, y sobre ese monto se obtiene una suma que puede ser apreciada en más o en menos cuando las circunstancias así lo autorizan" (CC0102 MP., autos "SAUBIDET, ELSA RENÉ C/ EMPRESA DE TRANSPORTE 12 DE OCTUBRE SRL Y OTRO S/ DAÑOS Y PERJUICIOS", CC0102 MP 160665 299-S S, 29/11/2016; Sumario Juba:B5025405 ).- Tal información además de ser pública y notoria, se presume conocida por todos en tanto que surge de normativa dictada al efecto por el CONSEJO NAC DEL EMPLEO PRODUCTIVIDAD Y EL SALARIO M.V.Y M, del   MINISTERIO DE TRABAJO, EMPLEO Y SEGURIDAD SOCIAL, con su correspondiente publicación en el Boletín Oficial (arts. 4 y 5 Cód.C.yC) (http://servicios.infoleg.gob.ar/infolegInternet/anexos/245000-249999/249538/norma.htm)</w:t>
      </w:r>
      <w:r>
        <w:rPr>
          <w:lang w:val="es-AR" w:eastAsia="es-AR" w:bidi="es-AR"/>
        </w:rPr>
        <w:t xml:space="preserve">." (Expte. 4490-22 - entre otros- caratulado "CANEJO, FLORENCIA C/ GABINO, ADRIAN ALEJANDRO S/ALIMENTOS", REGISTRO DE SENTENCIAS el 29/03/2022  bajo el número RS-16-2022"</w:t>
      </w:r>
    </w:p>
    <w:p>
      <w:pPr>
        <w:pStyle w:val="[Normal]"/>
        <w:spacing w:line="360" w:lineRule="auto"/>
        <w:ind w:firstLine="1134"/>
        <w:jc w:val="both"/>
        <w:rPr>
          <w:lang w:val="es-AR" w:eastAsia="es-AR" w:bidi="es-AR"/>
        </w:rPr>
      </w:pPr>
      <w:r>
        <w:rPr>
          <w:lang w:val="es-AR" w:eastAsia="es-AR" w:bidi="es-AR"/>
        </w:rPr>
        <w:t xml:space="preserve">En efecto, en autos no se ha demostrado que la actora percibiera ingresos mensurables derivados de una actividad laboral formal, ni se han incorporado elementos contables, recibos de sueldo u otra prueba fehaciente que permita apartarse con solidez del criterio presuntivo que la jurisprudencia local admite cuando se carece de datos económicos precisos.</w:t>
      </w:r>
    </w:p>
    <w:p>
      <w:pPr>
        <w:pStyle w:val="[Normal]"/>
        <w:spacing w:line="360" w:lineRule="auto"/>
        <w:ind w:firstLine="1134"/>
        <w:jc w:val="both"/>
        <w:rPr>
          <w:color w:val="000000"/>
          <w:shd w:val="clear" w:color="auto" w:fill="FFFFFF"/>
          <w:lang w:val="es-AR" w:eastAsia="es-AR" w:bidi="es-AR"/>
        </w:rPr>
      </w:pPr>
      <w:r>
        <w:rPr>
          <w:lang w:val="es-AR" w:eastAsia="es-AR" w:bidi="es-AR"/>
        </w:rPr>
        <w:t xml:space="preserve">Tampoco resulta desacertado, en este marco, el haber utilizado el valor del SMVM vigente al momento de dictarse sentencia, dado que dicho momento representa el cierre del período resarcible hasta que se practique liquidación definitiva, y su uso ha sido validado por la doctrina legal provincial como un criterio compatible con el artículo 772 del CCyC, el cual autoriza la actualización de deudas de valor para preservar su equivalencia con el daño sufrido </w:t>
      </w:r>
      <w:r>
        <w:rPr>
          <w:color w:val="000000"/>
          <w:sz w:val="21"/>
          <w:shd w:val="clear" w:color="auto" w:fill="FFFFFF"/>
          <w:lang w:val="es-AR" w:eastAsia="es-AR" w:bidi="es-AR"/>
        </w:rPr>
        <w:t xml:space="preserve">(</w:t>
      </w:r>
      <w:r>
        <w:rPr>
          <w:lang w:val="es-AR" w:eastAsia="es-AR" w:bidi="es-AR"/>
        </w:rPr>
        <w:t xml:space="preserve">SCBA, "Vera, Juan Carlos contra Provincia de Buenos Aires. Daños y perjuicios", causa C. 120.536, 18/04/2018; </w:t>
      </w:r>
      <w:r>
        <w:rPr>
          <w:color w:val="000000"/>
          <w:shd w:val="clear" w:color="auto" w:fill="FFFFFF"/>
          <w:lang w:val="es-AR" w:eastAsia="es-AR" w:bidi="es-AR"/>
        </w:rPr>
        <w:t xml:space="preserve">SCJBA, "Nidera S.A. contra Provincia de Buenos Aires. Daños y perjuicios", C. 121.134, 3/5/2018).</w:t>
      </w:r>
    </w:p>
    <w:p>
      <w:pPr>
        <w:pStyle w:val="[Normal]"/>
        <w:spacing w:line="360" w:lineRule="auto"/>
        <w:ind w:firstLine="1134"/>
        <w:jc w:val="both"/>
        <w:rPr>
          <w:color w:val="000000"/>
          <w:shd w:val="clear" w:color="auto" w:fill="FFFFFF"/>
          <w:lang w:val="es-AR" w:eastAsia="es-AR" w:bidi="es-AR"/>
        </w:rPr>
      </w:pPr>
      <w:r>
        <w:rPr>
          <w:color w:val="000000"/>
          <w:shd w:val="clear" w:color="auto" w:fill="FFFFFF"/>
          <w:lang w:val="es-AR" w:eastAsia="es-AR" w:bidi="es-AR"/>
        </w:rPr>
        <w:t xml:space="preserve">A lo anterior se suma un argumento que robustece la solución adoptada por el a quo: la finalidad misma del rubro </w:t>
      </w:r>
      <w:r>
        <w:rPr>
          <w:i/>
          <w:color w:val="000000"/>
          <w:shd w:val="clear" w:color="auto" w:fill="FFFFFF"/>
          <w:lang w:val="es-AR" w:eastAsia="es-AR" w:bidi="es-AR"/>
        </w:rPr>
        <w:t xml:space="preserve">“incapacidad sobreviniente”</w:t>
      </w:r>
      <w:r>
        <w:rPr>
          <w:color w:val="000000"/>
          <w:shd w:val="clear" w:color="auto" w:fill="FFFFFF"/>
          <w:lang w:val="es-AR" w:eastAsia="es-AR" w:bidi="es-AR"/>
        </w:rPr>
        <w:t xml:space="preserve"> es resarcir la pérdida de aptitudes laborativas y vitales proyectadas hacia el futuro, es decir, su potencial de traducción económica. La renta o productividad perdida por la víctima no debe calcularse con referencia a lo que valía esa capacidad al momento del hecho, sino a lo que representa actualmente, al momento de dictar sentencia. No se trata de una deuda de valor congelada en el tiempo, sino de una indemnización destinada a cubrir una pérdida con proyección económica. De allí que, aun cuando la evolución del SMVM no haya acompañado linealmente la inflación, su consideración en su valor actual refleja adecuadamente la finalidad del rubro: compensar un menoscabo patrimonial en curso que impacta sobre la aptitud futura de generar ingresos.</w:t>
      </w:r>
    </w:p>
    <w:p>
      <w:pPr>
        <w:pStyle w:val="[Normal]"/>
        <w:spacing w:line="360" w:lineRule="auto"/>
        <w:ind w:firstLine="1134"/>
        <w:jc w:val="both"/>
        <w:rPr>
          <w:color w:val="000000"/>
          <w:shd w:val="clear" w:color="auto" w:fill="FFFFFF"/>
          <w:lang w:val="es-AR" w:eastAsia="es-AR" w:bidi="es-AR"/>
        </w:rPr>
      </w:pPr>
      <w:r>
        <w:rPr>
          <w:color w:val="000000"/>
          <w:shd w:val="clear" w:color="auto" w:fill="FFFFFF"/>
          <w:lang w:val="es-AR" w:eastAsia="es-AR" w:bidi="es-AR"/>
        </w:rPr>
        <w:t xml:space="preserve">En otro orden, debe recordarse la improcedencia de aplicar un adicional autónomo por afectación de aptitudes vitales por cuanto no surge acreditada en autos. El dictamen pericial médico –cuya valoración no fue impugnada eficazmente– delimitó una incapacidad parcial del 30% compatible con las lesiones sufridas. En virtud de ello, no corresponde duplicar porcentajes sin respaldo médico específico.</w:t>
      </w:r>
    </w:p>
    <w:p>
      <w:pPr>
        <w:pStyle w:val="[Normal]"/>
        <w:spacing w:line="360" w:lineRule="auto"/>
        <w:ind w:firstLine="1134"/>
        <w:jc w:val="both"/>
        <w:rPr>
          <w:lang w:val="es-AR" w:eastAsia="es-AR" w:bidi="es-AR"/>
        </w:rPr>
      </w:pPr>
      <w:r>
        <w:rPr>
          <w:lang w:val="es-AR" w:eastAsia="es-AR" w:bidi="es-AR"/>
        </w:rPr>
        <w:t xml:space="preserve">Respecto del reclamo de aplicar actualización por IPC desde el hecho hasta la sentencia o declarar la inconstitucionalidad del artículo 7 de la Ley 23.928 (texto según Ley 25.561), no se configura aquí un supuesto de vulneración palmaria del derecho de propiedad que habilite el control de constitucionalidad pretendido. </w:t>
      </w:r>
    </w:p>
    <w:p>
      <w:pPr>
        <w:pStyle w:val="[Normal]"/>
        <w:spacing w:line="360" w:lineRule="auto"/>
        <w:ind w:firstLine="1134"/>
        <w:jc w:val="both"/>
        <w:rPr>
          <w:lang w:val="es-AR" w:eastAsia="es-AR" w:bidi="es-AR"/>
        </w:rPr>
      </w:pPr>
      <w:r>
        <w:rPr>
          <w:lang w:val="es-AR" w:eastAsia="es-AR" w:bidi="es-AR"/>
        </w:rPr>
        <w:t xml:space="preserve">En relación al tramo temporal anterior a la sentencia, entiendo que toda vez que los rubros de referencia han sido establecidos a valores contemporáneos a la fecha de la sentencia (daño moral y punitivo) y en el caso del daño patrimonial la determinación ha sido diferida a un momento ulterior (etapa liquidatoria), no corresponde declarar la inconstitucionalidad de la mentada ley por el referido período, ya que en relación a tal etapa no habría desmedro del contenido económico del crédito merced a la valuación efectuada en el pronunciamiento de mérito.-</w:t>
      </w:r>
    </w:p>
    <w:p>
      <w:pPr>
        <w:pStyle w:val="[Normal]"/>
        <w:spacing w:line="360" w:lineRule="auto"/>
        <w:ind w:firstLine="1134"/>
        <w:jc w:val="both"/>
        <w:rPr>
          <w:lang w:val="es-AR" w:eastAsia="es-AR" w:bidi="es-AR"/>
        </w:rPr>
      </w:pPr>
      <w:r>
        <w:rPr>
          <w:lang w:val="es-AR" w:eastAsia="es-AR" w:bidi="es-AR"/>
        </w:rPr>
        <w:t xml:space="preserve">En lo que concierne al tramo temporal posterior a la sentencia, corresponde subrayar que las vicisitudes económicas que pudieran acaecer durante el tramo comprendido entre el dictado de este pronunciamiento y el efectivo pago de la condena (hoy meramente conjeturales e hipotéticas, especialmente si se tiene en cuenta la gradual desaceleración del índice de inflación operada en el último tiempo), podrán ser oportunamente planteadas y sometidas al escrutinio judicial, en caso de sobrevenir una hipótesis de conflicto constitucional de similares contornos a la evaluada por la Suprema Corte en “Barrios”, circunstancia que, eventualmente, y de verificarse análogos presupuestos formales y sustanciales, podría dar lugar a la adopción de alguno de los mecanismos de conservación del capital allí sopesados por el Alto Cuerpo, en pos de resguardar la integridad del derecho de propiedad del acreedor (conf. arg. consid. V.16.e. y ccds. del fallo citado). Por lo que considero que la declaración de inconstitucionalidad devino prematura tanto en el momento en que fue dictada como también lo sería en la presente instancia, por lo que no existe actualmente razón suficiente que justifique la confirmación de la declaración de inconstitucionalidad y la solución indexatoria dispuesta por el Tribunal de grado.-</w:t>
      </w:r>
    </w:p>
    <w:p>
      <w:pPr>
        <w:pStyle w:val="[Normal]"/>
        <w:spacing w:line="360" w:lineRule="auto"/>
        <w:ind w:firstLine="1134"/>
        <w:jc w:val="both"/>
        <w:rPr>
          <w:lang w:val="es-AR" w:eastAsia="es-AR" w:bidi="es-AR"/>
        </w:rPr>
      </w:pPr>
      <w:r>
        <w:rPr>
          <w:lang w:val="es-AR" w:eastAsia="es-AR" w:bidi="es-AR"/>
        </w:rPr>
        <w:t xml:space="preserve">A mayor abundamiento, he de señalar que la actualización de un crédito es un mecanismo por medio del cual el objeto de la obligación se expresa a valores corrientes o de acuerdo a parámetros económicos actualizados.  Esto resulta especialmente necesario en contextos en los que transcurre tiempo entre el nacimiento y el cumplimiento de la obligación y una coyuntura inflacionaria altera el poder adquisitivo de la moneda en la que se expresa o se cuantifica la deuda (Cf. Cámara de Apelaciones en lo Civil y Comercial de Mar del Plata, </w:t>
      </w:r>
      <w:r>
        <w:rPr>
          <w:i/>
          <w:lang w:val="es-AR" w:eastAsia="es-AR" w:bidi="es-AR"/>
        </w:rPr>
        <w:t xml:space="preserve">“DOWNIE, Débora Paola c. LA MERCANTIL ANDINA s. CUMPLIMIENTO DE CONTRATO”,</w:t>
      </w:r>
      <w:r>
        <w:rPr>
          <w:lang w:val="es-AR" w:eastAsia="es-AR" w:bidi="es-AR"/>
        </w:rPr>
        <w:t xml:space="preserve"> 18/3/25).-</w:t>
      </w:r>
    </w:p>
    <w:p>
      <w:pPr>
        <w:pStyle w:val="[Normal]"/>
        <w:spacing w:line="360" w:lineRule="auto"/>
        <w:ind w:firstLine="1134"/>
        <w:jc w:val="both"/>
        <w:rPr>
          <w:lang w:val="es-AR" w:eastAsia="es-AR" w:bidi="es-AR"/>
        </w:rPr>
      </w:pPr>
      <w:r>
        <w:rPr>
          <w:lang w:val="es-AR" w:eastAsia="es-AR" w:bidi="es-AR"/>
        </w:rPr>
        <w:t xml:space="preserve">Pero esa actualización, como género, contempla diversas especies.-</w:t>
      </w:r>
    </w:p>
    <w:p>
      <w:pPr>
        <w:pStyle w:val="[Normal]"/>
        <w:spacing w:line="360" w:lineRule="auto"/>
        <w:ind w:firstLine="1134"/>
        <w:jc w:val="both"/>
        <w:rPr>
          <w:lang w:val="es-AR" w:eastAsia="es-AR" w:bidi="es-AR"/>
        </w:rPr>
      </w:pPr>
      <w:r>
        <w:rPr>
          <w:lang w:val="es-AR" w:eastAsia="es-AR" w:bidi="es-AR"/>
        </w:rPr>
        <w:t xml:space="preserve">Una es el reajuste o actualización por índices en la que el valor nominal del capital fluctúa al son de un parámetro o índice que opera como referencia externa, modalidad actualmente prohibida por los art. 7 y 10 de la Ley 23.928 y que ha sido declarada inconstitucional en el fallo "Barrios" conforme a las especiales circunstancias que se verificasen en dicha causa.-</w:t>
      </w:r>
    </w:p>
    <w:p>
      <w:pPr>
        <w:pStyle w:val="[Normal]"/>
        <w:spacing w:line="360" w:lineRule="auto"/>
        <w:ind w:firstLine="1134"/>
        <w:jc w:val="both"/>
        <w:rPr>
          <w:lang w:val="es-AR" w:eastAsia="es-AR" w:bidi="es-AR"/>
        </w:rPr>
      </w:pPr>
      <w:r>
        <w:rPr>
          <w:lang w:val="es-AR" w:eastAsia="es-AR" w:bidi="es-AR"/>
        </w:rPr>
        <w:t xml:space="preserve">Otra es la valuación del daño a valores contemporáneos a la fecha de la sentencia (SCBA, "Vera, Juan Carlos contra Provincia de Buenos Aires. Daños y perjuicios", causa C. 120.536, 18/04/2018; </w:t>
      </w:r>
      <w:r>
        <w:rPr>
          <w:color w:val="000000"/>
          <w:shd w:val="clear" w:color="auto" w:fill="FFFFFF"/>
          <w:lang w:val="es-AR" w:eastAsia="es-AR" w:bidi="es-AR"/>
        </w:rPr>
        <w:t xml:space="preserve">SCJBA, "Nidera S. A. contra Provincia de Buenos Aires. Daños y perjuicios", C. 121.134, 3/5/2018) </w:t>
      </w:r>
      <w:r>
        <w:rPr>
          <w:lang w:val="es-AR" w:eastAsia="es-AR" w:bidi="es-AR"/>
        </w:rPr>
        <w:t xml:space="preserve">o difiriendo la valuación del daño a un momento ulterior (SCBA, entre muchísimos otros, véase c. 101.107 -“</w:t>
      </w:r>
      <w:r>
        <w:rPr>
          <w:i/>
          <w:lang w:val="es-AR" w:eastAsia="es-AR" w:bidi="es-AR"/>
        </w:rPr>
        <w:t xml:space="preserve">Arbizu</w:t>
      </w:r>
      <w:r>
        <w:rPr>
          <w:lang w:val="es-AR" w:eastAsia="es-AR" w:bidi="es-AR"/>
        </w:rPr>
        <w:t xml:space="preserve">...”- del 23/03/2010 c. 117735 -"</w:t>
      </w:r>
      <w:r>
        <w:rPr>
          <w:i/>
          <w:lang w:val="es-AR" w:eastAsia="es-AR" w:bidi="es-AR"/>
        </w:rPr>
        <w:t xml:space="preserve">Bi Launek</w:t>
      </w:r>
      <w:r>
        <w:rPr>
          <w:lang w:val="es-AR" w:eastAsia="es-AR" w:bidi="es-AR"/>
        </w:rPr>
        <w:t xml:space="preserve">"- del 24/09/2014, c. 117501 -"</w:t>
      </w:r>
      <w:r>
        <w:rPr>
          <w:i/>
          <w:lang w:val="es-AR" w:eastAsia="es-AR" w:bidi="es-AR"/>
        </w:rPr>
        <w:t xml:space="preserve">Martinez</w:t>
      </w:r>
      <w:r>
        <w:rPr>
          <w:lang w:val="es-AR" w:eastAsia="es-AR" w:bidi="es-AR"/>
        </w:rPr>
        <w:t xml:space="preserve">"- del 04/03/2015). En ambas, campea la noción de deuda de valor que, con el claro propósito de evitar las distorsiones que genera el nominalismo en coyunturas inflacionarias— permite concebir al objeto debido como un </w:t>
      </w:r>
      <w:r>
        <w:rPr>
          <w:i/>
          <w:lang w:val="es-AR" w:eastAsia="es-AR" w:bidi="es-AR"/>
        </w:rPr>
        <w:t xml:space="preserve">quid </w:t>
      </w:r>
      <w:r>
        <w:rPr>
          <w:lang w:val="es-AR" w:eastAsia="es-AR" w:bidi="es-AR"/>
        </w:rPr>
        <w:t xml:space="preserve">o </w:t>
      </w:r>
      <w:r>
        <w:rPr>
          <w:i/>
          <w:lang w:val="es-AR" w:eastAsia="es-AR" w:bidi="es-AR"/>
        </w:rPr>
        <w:t xml:space="preserve">valor </w:t>
      </w:r>
      <w:r>
        <w:rPr>
          <w:lang w:val="es-AR" w:eastAsia="es-AR" w:bidi="es-AR"/>
        </w:rPr>
        <w:t xml:space="preserve">a ser cuantificado en un momento posterior al nacimiento de la deuda o incluso expresarlo en una moneda sin curso legal.-</w:t>
      </w:r>
    </w:p>
    <w:p>
      <w:pPr>
        <w:pStyle w:val="[Normal]"/>
        <w:spacing w:line="360" w:lineRule="auto"/>
        <w:ind w:firstLine="1134"/>
        <w:jc w:val="both"/>
        <w:rPr>
          <w:lang w:val="es-AR" w:eastAsia="es-AR" w:bidi="es-AR"/>
        </w:rPr>
      </w:pPr>
      <w:r>
        <w:rPr>
          <w:lang w:val="es-AR" w:eastAsia="es-AR" w:bidi="es-AR"/>
        </w:rPr>
        <w:t xml:space="preserve">Finalmente, la solución tradicional ha sido procurar dicha actualización mediante el uso de una tasa de interés moratoria como mecanismo indirecto de actualización (CSJN Fallos: 347:1446, in re “</w:t>
      </w:r>
      <w:r>
        <w:rPr>
          <w:i/>
          <w:lang w:val="es-AR" w:eastAsia="es-AR" w:bidi="es-AR"/>
        </w:rPr>
        <w:t xml:space="preserve">Barrientos, Gabriela </w:t>
      </w:r>
      <w:r>
        <w:rPr>
          <w:lang w:val="es-AR" w:eastAsia="es-AR" w:bidi="es-AR"/>
        </w:rPr>
        <w:t xml:space="preserve">“, del 15/10/2024).-</w:t>
      </w:r>
    </w:p>
    <w:p>
      <w:pPr>
        <w:pStyle w:val="[Normal]"/>
        <w:spacing w:line="360" w:lineRule="auto"/>
        <w:ind w:firstLine="1134"/>
        <w:jc w:val="both"/>
        <w:rPr>
          <w:lang w:val="es-AR" w:eastAsia="es-AR" w:bidi="es-AR"/>
        </w:rPr>
      </w:pPr>
      <w:r>
        <w:rPr>
          <w:lang w:val="es-AR" w:eastAsia="es-AR" w:bidi="es-AR"/>
        </w:rPr>
        <w:t xml:space="preserve">Con lo expuesto, queda en evidencia que actualizar no necesariamente supone repotenciar o reajustar por índices, toda vez que se puede llegar al primer resultado (actualización) a través de distintas vías o métodos.-</w:t>
      </w:r>
    </w:p>
    <w:p>
      <w:pPr>
        <w:pStyle w:val="[Normal]"/>
        <w:spacing w:line="360" w:lineRule="auto"/>
        <w:ind w:firstLine="1134"/>
        <w:jc w:val="both"/>
        <w:rPr>
          <w:i/>
          <w:lang w:val="es-AR" w:eastAsia="es-AR" w:bidi="es-AR"/>
        </w:rPr>
      </w:pPr>
      <w:r>
        <w:rPr>
          <w:lang w:val="es-AR" w:eastAsia="es-AR" w:bidi="es-AR"/>
        </w:rPr>
        <w:t xml:space="preserve">La conveniencia de indexar un crédito (en contraste con utilizar tasas bancarias sobre el tramo dinerario de una deuda de valor ya cuantificada) dependerá de las características del caso, de numerosas variables macroeconómicas y de la extensión temporal de la mora, entre otras variables. En particular, depende de cuándo el valor fue convertido a dinero, cuándo se cancela la deuda, cómo es la evolución comparada de las tasas y el IPC en los períodos posteriores a la conversión, etcétera. Con un índice de inflación decreciente no son pocos los escenarios en los que al actor le conviene que a su deuda de valor ya convertida en dinero se le incorpore una tasa de interés activa en contraste con el mero reajuste por índices y una tasa pura del 6% anual (cf. cit. Cámara de Apelaciones en lo Civil y Comercial de Mar del Plata, </w:t>
      </w:r>
      <w:r>
        <w:rPr>
          <w:i/>
          <w:lang w:val="es-AR" w:eastAsia="es-AR" w:bidi="es-AR"/>
        </w:rPr>
        <w:t xml:space="preserve">“DOWNIE...").-</w:t>
      </w:r>
    </w:p>
    <w:p>
      <w:pPr>
        <w:pStyle w:val="[Normal]"/>
        <w:spacing w:line="360" w:lineRule="auto"/>
        <w:ind w:firstLine="1134"/>
        <w:jc w:val="both"/>
        <w:rPr>
          <w:i/>
          <w:lang w:val="es-AR" w:eastAsia="es-AR" w:bidi="es-AR"/>
        </w:rPr>
      </w:pPr>
      <w:r>
        <w:rPr>
          <w:lang w:val="es-AR" w:eastAsia="es-AR" w:bidi="es-AR"/>
        </w:rPr>
        <w:t xml:space="preserve">En este sentido, bien se ha dicho que:</w:t>
      </w:r>
      <w:r>
        <w:rPr>
          <w:i/>
          <w:lang w:val="es-AR" w:eastAsia="es-AR" w:bidi="es-AR"/>
        </w:rPr>
        <w:t xml:space="preserve"> "la aplicación automatizada de indexaciones no reclamadas por el titular del crédito, sin evaluar su resultado en cada caso concreto (según la evolución de las tasas e índices en los períodos implicados), constituye una práctica potencialmente problemática que incrementa un doble riesgo: (a) el primero, dictar decisiones incongruentes que afecten derechos fundamentales de los litigantes; (b) el segundo, asignarle a la jurisdicción un rol institucional que no le es propio, pues el juzgador termina por prescindir de la voluntad del titular de un derecho patrimonial disponible (quien, asesorado por un abogado de matrícula, elige libremente cómo proteger su acreencia frente a la inflación) y la reemplaza por una decisión estatal oficiosa que, paradójicamente, tiene aptitud para perjudicar o empeorar la situación de aquel a quien se intenta proteger (arts. 18 CN y 15 CPBA; mi voto en causa 170768 -"Banco de la Provincia de Buenos Aires c/ Cambre, Mauro"- sent. del 12/03/2021)"</w:t>
      </w:r>
      <w:r>
        <w:rPr>
          <w:lang w:val="es-AR" w:eastAsia="es-AR" w:bidi="es-AR"/>
        </w:rPr>
        <w:t xml:space="preserve"> (cit . Cámara de Apelaciones en lo Civil y Comercial de Mar del Plata, </w:t>
      </w:r>
      <w:r>
        <w:rPr>
          <w:i/>
          <w:lang w:val="es-AR" w:eastAsia="es-AR" w:bidi="es-AR"/>
        </w:rPr>
        <w:t xml:space="preserve">“DOWNIE...").-</w:t>
      </w:r>
    </w:p>
    <w:p>
      <w:pPr>
        <w:pStyle w:val="[Normal]"/>
        <w:spacing w:line="360" w:lineRule="auto"/>
        <w:ind w:firstLine="1134"/>
        <w:jc w:val="both"/>
        <w:rPr>
          <w:lang w:val="es-AR" w:eastAsia="es-AR" w:bidi="es-AR"/>
        </w:rPr>
      </w:pPr>
      <w:r>
        <w:rPr>
          <w:lang w:val="es-AR" w:eastAsia="es-AR" w:bidi="es-AR"/>
        </w:rPr>
        <w:t xml:space="preserve">Finalmente, debe recordarse que la declaración de inconstitucionalidad (de ineludible aplicación a los fines de actualizar vía indexación) constituye una solución extrema que debe ceder ante la posibilidad de articular otros mecanismos que permitan arribar a una respuesta jurídica no lesiva de los derechos y garantías constitucionales.-</w:t>
      </w:r>
    </w:p>
    <w:p>
      <w:pPr>
        <w:pStyle w:val="[Normal]"/>
        <w:spacing w:line="360" w:lineRule="auto"/>
        <w:ind w:firstLine="1134"/>
        <w:jc w:val="both"/>
        <w:rPr>
          <w:lang w:val="es-AR" w:eastAsia="es-AR" w:bidi="es-AR"/>
        </w:rPr>
      </w:pPr>
      <w:r>
        <w:rPr>
          <w:lang w:val="es-AR" w:eastAsia="es-AR" w:bidi="es-AR"/>
        </w:rPr>
        <w:t xml:space="preserve">En relación a ello, y vinculado a la temática, la Corte Suprema de Justicia de la Provincia de Buenos Aires, en el caso </w:t>
      </w:r>
      <w:r>
        <w:rPr>
          <w:i/>
          <w:lang w:val="es-AR" w:eastAsia="es-AR" w:bidi="es-AR"/>
        </w:rPr>
        <w:t xml:space="preserve">"Barrios"</w:t>
      </w:r>
      <w:r>
        <w:rPr>
          <w:lang w:val="es-AR" w:eastAsia="es-AR" w:bidi="es-AR"/>
        </w:rPr>
        <w:t xml:space="preserve"> -que ya fuera citado-, estableció claramente que la declaración de inconstitucionalidad del artículo 7 de la ley 23.928 (que prohíbe la indexación) debe ser considerada como la última ratio. Antes de recurrir a esta medida excepcional, los jueces deben agotar otras alternativas y mecanismos legales disponibles para proteger el crédito afectado por la inflación.-</w:t>
      </w:r>
    </w:p>
    <w:p>
      <w:pPr>
        <w:pStyle w:val="[Normal]"/>
        <w:spacing w:line="360" w:lineRule="auto"/>
        <w:ind w:firstLine="1134"/>
        <w:jc w:val="both"/>
        <w:rPr>
          <w:lang w:val="es-AR" w:eastAsia="es-AR" w:bidi="es-AR"/>
        </w:rPr>
      </w:pPr>
      <w:r>
        <w:rPr>
          <w:lang w:val="es-AR" w:eastAsia="es-AR" w:bidi="es-AR"/>
        </w:rPr>
        <w:t xml:space="preserve">Según el fallo, los jueces tienen mayor libertad para definir el mecanismo de protección del crédito mientras se debate en el proceso.  No solo pueden, sino que deben preferir cualquier solución no indexatoria, incluso mediante la aplicación analógica de normas. La solución constitucional, es decir, la declaración de inconstitucionalidad y el reajuste del crédito por índice, fue, es y seguirá siendo la última opción disponible.-</w:t>
      </w:r>
    </w:p>
    <w:p>
      <w:pPr>
        <w:pStyle w:val="[Normal]"/>
        <w:spacing w:line="360" w:lineRule="auto"/>
        <w:ind w:firstLine="1134"/>
        <w:jc w:val="both"/>
        <w:rPr>
          <w:lang w:val="es-AR" w:eastAsia="es-AR" w:bidi="es-AR"/>
        </w:rPr>
      </w:pPr>
      <w:r>
        <w:rPr>
          <w:lang w:val="es-AR" w:eastAsia="es-AR" w:bidi="es-AR"/>
        </w:rPr>
        <w:t xml:space="preserve">El ministro Soria ha sido enfático en este punto, indicando que solo excepcionalmente, y cuando esas herramientas o caminos alternativos no logren el fin propuesto y decanten en una intolerable afectación del derecho creditorio del actor, puede el tribunal declarar la inconstitucionalidad del art. 7 de la Ley 23.928, y siempre que las demás condiciones del caso lo justifiquen.-</w:t>
      </w:r>
    </w:p>
    <w:p>
      <w:pPr>
        <w:pStyle w:val="[Normal]"/>
        <w:spacing w:line="360" w:lineRule="auto"/>
        <w:ind w:firstLine="1134"/>
        <w:jc w:val="both"/>
        <w:rPr>
          <w:lang w:val="es-AR" w:eastAsia="es-AR" w:bidi="es-AR"/>
        </w:rPr>
      </w:pPr>
      <w:r>
        <w:rPr>
          <w:lang w:val="es-AR" w:eastAsia="es-AR" w:bidi="es-AR"/>
        </w:rPr>
        <w:t xml:space="preserve">En virtud de ello, y atento a que no se ha logrado demostrar la ineficacia y/o insuficiencia de las restantes alternativas de actualización, propiciaré que se deje sin efecto la declaración de inconstitucionalidad y consecuente actualización dispuesta en la instancia de grado.-</w:t>
      </w:r>
    </w:p>
    <w:p>
      <w:pPr>
        <w:pStyle w:val="[Normal]"/>
        <w:spacing w:line="360" w:lineRule="auto"/>
        <w:ind w:firstLine="1134"/>
        <w:jc w:val="both"/>
        <w:rPr>
          <w:lang w:val="es-AR" w:eastAsia="es-AR" w:bidi="es-AR"/>
        </w:rPr>
      </w:pPr>
      <w:r>
        <w:rPr>
          <w:lang w:val="es-AR" w:eastAsia="es-AR" w:bidi="es-AR"/>
        </w:rPr>
        <w:t xml:space="preserve">Por último, tampoco puede prosperar el agravio de la parte actora vinculado al monto reconocido en concepto de daño moral.</w:t>
      </w:r>
    </w:p>
    <w:p>
      <w:pPr>
        <w:pStyle w:val="[Normal]"/>
        <w:spacing w:line="360" w:lineRule="auto"/>
        <w:ind w:firstLine="1134"/>
        <w:jc w:val="both"/>
        <w:rPr>
          <w:lang w:val="es-AR" w:eastAsia="es-AR" w:bidi="es-AR"/>
        </w:rPr>
      </w:pPr>
      <w:r>
        <w:rPr>
          <w:lang w:val="es-AR" w:eastAsia="es-AR" w:bidi="es-AR"/>
        </w:rPr>
        <w:t xml:space="preserve">La crítica se centra en que la suma otorgada resulta exigua, especialmente teniendo en cuenta que incluye también un porcentaje correspondiente al daño estético. La actora objeta que el criterio utilizado por el sentenciante de grado –presuntamente vinculado a una referencia a actividades recreativas o compensaciones no patrimoniales genéricas– no se correspondería con los costos reales de esas actividades en la actualidad. Por ello, solicita que el importe sea duplicado a fin de lograr, según entiende, una reparación justa del sufrimiento padecido.</w:t>
      </w:r>
    </w:p>
    <w:p>
      <w:pPr>
        <w:pStyle w:val="[Normal]"/>
        <w:spacing w:line="360" w:lineRule="auto"/>
        <w:ind w:firstLine="1134"/>
        <w:jc w:val="both"/>
        <w:rPr>
          <w:lang w:val="es-AR" w:eastAsia="es-AR" w:bidi="es-AR"/>
        </w:rPr>
      </w:pPr>
      <w:r>
        <w:rPr>
          <w:lang w:val="es-AR" w:eastAsia="es-AR" w:bidi="es-AR"/>
        </w:rPr>
        <w:t xml:space="preserve">Sin embargo, la pretensión no puede ser acogida.</w:t>
      </w:r>
    </w:p>
    <w:p>
      <w:pPr>
        <w:pStyle w:val="[Normal]"/>
        <w:spacing w:line="360" w:lineRule="auto"/>
        <w:ind w:firstLine="1134"/>
        <w:jc w:val="both"/>
        <w:rPr>
          <w:lang w:val="es-AR" w:eastAsia="es-AR" w:bidi="es-AR"/>
        </w:rPr>
      </w:pPr>
      <w:r>
        <w:rPr>
          <w:lang w:val="es-AR" w:eastAsia="es-AR" w:bidi="es-AR"/>
        </w:rPr>
        <w:t xml:space="preserve">En primer lugar, debe recordarse que el daño moral tiene por objeto compensar el menoscabo espiritual y anímico sufrido por la víctima, derivado de la lesión a sus derechos personalísimos, y no se mide en función de parámetros económicos directos ni puede reducirse a una fórmula matemática. Se trata de un concepto jurídico indeterminado cuya cuantificación queda sujeta al prudente arbitrio judicial, en función de las circunstancias del caso concreto, la gravedad de las lesiones, la extensión del padecimiento, y los datos objetivos aportados al proceso (art. 1741 CCyC).</w:t>
      </w:r>
    </w:p>
    <w:p>
      <w:pPr>
        <w:pStyle w:val="[Normal]"/>
        <w:spacing w:line="360" w:lineRule="auto"/>
        <w:ind w:firstLine="1134"/>
        <w:jc w:val="both"/>
        <w:rPr>
          <w:lang w:val="es-AR" w:eastAsia="es-AR" w:bidi="es-AR"/>
        </w:rPr>
      </w:pPr>
      <w:r>
        <w:rPr>
          <w:lang w:val="es-AR" w:eastAsia="es-AR" w:bidi="es-AR"/>
        </w:rPr>
        <w:t xml:space="preserve">En autos, el sentenciante ponderó adecuadamente la entidad de las lesiones padecidas, la intervención quirúrgica sufrida, el período de recuperación, las secuelas funcionales y la edad de la víctima. Asimismo, consideró que las consecuencias estéticas –aunque incluidas en el mismo rubro– no alcanzaban una entidad tal como para justificar su tratamiento autónomo. Esa valoración, en tanto no aparece como irrazonable, arbitraria ni desproporcionada, debe ser mantenida.</w:t>
      </w:r>
    </w:p>
    <w:p>
      <w:pPr>
        <w:pStyle w:val="[Normal]"/>
        <w:spacing w:line="360" w:lineRule="auto"/>
        <w:ind w:firstLine="1134"/>
        <w:jc w:val="both"/>
        <w:rPr>
          <w:lang w:val="es-AR" w:eastAsia="es-AR" w:bidi="es-AR"/>
        </w:rPr>
      </w:pPr>
      <w:r>
        <w:rPr>
          <w:lang w:val="es-AR" w:eastAsia="es-AR" w:bidi="es-AR"/>
        </w:rPr>
        <w:t xml:space="preserve">El hecho de que el rubro comprenda tanto el sufrimiento subjetivo como las secuelas visibles (daño estético) no implica por sí una mengua de la reparación, sino que responde a una técnica de unificación resarcitoria válida, especialmente cuando ambos aspectos se hallan imbricados, como sucede habitualmente en casos de lesiones personales.</w:t>
      </w:r>
    </w:p>
    <w:p>
      <w:pPr>
        <w:pStyle w:val="[Normal]"/>
        <w:spacing w:line="360" w:lineRule="auto"/>
        <w:ind w:firstLine="1134"/>
        <w:jc w:val="both"/>
        <w:rPr>
          <w:lang w:val="es-AR" w:eastAsia="es-AR" w:bidi="es-AR"/>
        </w:rPr>
      </w:pPr>
      <w:r>
        <w:rPr>
          <w:lang w:val="es-AR" w:eastAsia="es-AR" w:bidi="es-AR"/>
        </w:rPr>
        <w:t xml:space="preserve">Al respecto, es importante remarcar que tanto la normativa del Código de Vélez (arts. 1068 y 1078) como la correspondiente al Código Civil y Comercial (1738 y 1741) son claras y no dejan resquicio para la duda. El daño sólo puede ser patrimonial o moral. Por lo que deben descartarse pretendidas nuevas categorías de daño indemnizable cuya formulación con visos de autonomía únicamente puede ser concebida a partir de serios desenfoques del concepto de daño patrimonial y moral.-</w:t>
      </w:r>
    </w:p>
    <w:p>
      <w:pPr>
        <w:pStyle w:val="[Normal]"/>
        <w:spacing w:line="360" w:lineRule="auto"/>
        <w:ind w:firstLine="1134"/>
        <w:jc w:val="both"/>
        <w:rPr>
          <w:lang w:val="es-AR" w:eastAsia="es-AR" w:bidi="es-AR"/>
        </w:rPr>
      </w:pPr>
      <w:r>
        <w:rPr>
          <w:lang w:val="es-AR" w:eastAsia="es-AR" w:bidi="es-AR"/>
        </w:rPr>
        <w:t xml:space="preserve">La utilización de locuciones como </w:t>
      </w:r>
      <w:r>
        <w:rPr>
          <w:i/>
          <w:lang w:val="es-AR" w:eastAsia="es-AR" w:bidi="es-AR"/>
        </w:rPr>
        <w:t xml:space="preserve">“daño estético”</w:t>
      </w:r>
      <w:r>
        <w:rPr>
          <w:lang w:val="es-AR" w:eastAsia="es-AR" w:bidi="es-AR"/>
        </w:rPr>
        <w:t xml:space="preserve">, </w:t>
      </w:r>
      <w:r>
        <w:rPr>
          <w:i/>
          <w:lang w:val="es-AR" w:eastAsia="es-AR" w:bidi="es-AR"/>
        </w:rPr>
        <w:t xml:space="preserve">“daño psíquico”</w:t>
      </w:r>
      <w:r>
        <w:rPr>
          <w:lang w:val="es-AR" w:eastAsia="es-AR" w:bidi="es-AR"/>
        </w:rPr>
        <w:t xml:space="preserve">, </w:t>
      </w:r>
      <w:r>
        <w:rPr>
          <w:i/>
          <w:lang w:val="es-AR" w:eastAsia="es-AR" w:bidi="es-AR"/>
        </w:rPr>
        <w:t xml:space="preserve">“daño por incapacidad”</w:t>
      </w:r>
      <w:r>
        <w:rPr>
          <w:lang w:val="es-AR" w:eastAsia="es-AR" w:bidi="es-AR"/>
        </w:rPr>
        <w:t xml:space="preserve">, </w:t>
      </w:r>
      <w:r>
        <w:rPr>
          <w:i/>
          <w:lang w:val="es-AR" w:eastAsia="es-AR" w:bidi="es-AR"/>
        </w:rPr>
        <w:t xml:space="preserve">"daño al proyecto de vida"</w:t>
      </w:r>
      <w:r>
        <w:rPr>
          <w:lang w:val="es-AR" w:eastAsia="es-AR" w:bidi="es-AR"/>
        </w:rPr>
        <w:t xml:space="preserve"> es útil -y así ha sido por validada por la jurisprudencia del Alto Tribunal- para  expresar todas las facetas y componentes que integran estos dos rubros resarcitorios y, de tal modo, compeler a los tribunales a pronunciarse específicamente sobre ellos y su impacto en la extensión del daño resarcible.-</w:t>
      </w:r>
    </w:p>
    <w:p>
      <w:pPr>
        <w:pStyle w:val="[Normal]"/>
        <w:spacing w:line="360" w:lineRule="auto"/>
        <w:ind w:firstLine="1134"/>
        <w:jc w:val="both"/>
        <w:rPr>
          <w:lang w:val="es-AR" w:eastAsia="es-AR" w:bidi="es-AR"/>
        </w:rPr>
      </w:pPr>
      <w:r>
        <w:rPr>
          <w:lang w:val="es-AR" w:eastAsia="es-AR" w:bidi="es-AR"/>
        </w:rPr>
        <w:t xml:space="preserve">Así, por ejemplo, el daño estético supone la lesión a los intereses patrimoniales y extrapatrimoniales de la persona humana ligados a su regularidad y armonía física que pueden generar un daño patrimonial emergente (vgr. honorarios médicos, costo de cirugía, etc.) o un lucro cesante (ganancias frustradas a raíz de la lesión estética) o bien ambos, sin perjuicio de la existencia de consecuencias no patrimoniales derivadas del quebrantamiento espiritual a raíz de la lesión estética.-</w:t>
      </w:r>
    </w:p>
    <w:p>
      <w:pPr>
        <w:pStyle w:val="[Normal]"/>
        <w:spacing w:line="360" w:lineRule="auto"/>
        <w:ind w:firstLine="1134"/>
        <w:jc w:val="both"/>
        <w:rPr>
          <w:lang w:val="es-AR" w:eastAsia="es-AR" w:bidi="es-AR"/>
        </w:rPr>
      </w:pPr>
      <w:r>
        <w:rPr>
          <w:lang w:val="es-AR" w:eastAsia="es-AR" w:bidi="es-AR"/>
        </w:rPr>
        <w:t xml:space="preserve">La utilidad del procedimiento no transita por reconocer rubros resarcitorios autónomos, sino por contemplar diversas formas de lesividad o daños de hecho para poder ponderar discriminadamente los efectos patrimoniales y no patrimoniales que derivan de la conculcación a intereses de tal índole. De este modo, se evita que dentro de la cuenta global se dupliquen o diluyan los distintos aspectos constitutivos del daño indemnizable, al tiempo que se posibilita un mejor control de los alcances del fallo. En esta línea, Vázquez Ferreyra sostiene que: </w:t>
      </w:r>
      <w:r>
        <w:rPr>
          <w:i/>
          <w:lang w:val="es-AR" w:eastAsia="es-AR" w:bidi="es-AR"/>
        </w:rPr>
        <w:t xml:space="preserve">“cuando llega el momento de fijar la cuantía de la indemnización del daño patrimonial y moral, aquí sí cobra importancia el análisis de la lesión estética, pues se trata de un rubro más a tener en cuenta en cada tipo de daño para establecer su magnitud. De esta manera, los jueces no deberían fijar indemnizaciones globales –como muchas veces se hace- sino que en aras de dar una mayor garantía a los litigantes, es conveniente que tanto el daño patrimonial como no patrimonial se descomponga en todos los ítems –daño en sentido naturalístico- que han sido tenidos en cuenta”</w:t>
      </w:r>
      <w:r>
        <w:rPr>
          <w:lang w:val="es-AR" w:eastAsia="es-AR" w:bidi="es-AR"/>
        </w:rPr>
        <w:t xml:space="preserve"> (VAZQUEZ FERREYRA, Roberto A., Daños y perjuicios: lesión estética, LL, 1992-B-251).-</w:t>
      </w:r>
    </w:p>
    <w:p>
      <w:pPr>
        <w:pStyle w:val="[Normal]"/>
        <w:spacing w:line="360" w:lineRule="auto"/>
        <w:ind w:firstLine="1134"/>
        <w:jc w:val="both"/>
        <w:rPr>
          <w:lang w:val="es-AR" w:eastAsia="es-AR" w:bidi="es-AR"/>
        </w:rPr>
      </w:pPr>
      <w:r>
        <w:rPr>
          <w:lang w:val="es-AR" w:eastAsia="es-AR" w:bidi="es-AR"/>
        </w:rPr>
        <w:t xml:space="preserve">En esta línea, la Suprema Corte de Justicia de Mendoza, con voto de la Dra. Kemelmajer de Carlucci, ha sostenido reiteradamente que </w:t>
      </w:r>
      <w:r>
        <w:rPr>
          <w:i/>
          <w:lang w:val="es-AR" w:eastAsia="es-AR" w:bidi="es-AR"/>
        </w:rPr>
        <w:t xml:space="preserve">“cualquiera sea el nomen iuris bajo el que se encuadre el daño, lo relevante es que si ya se computa la pérdida patrimonial del sujeto (o el período tenido en vista), no se confiera como indemnización autónoma el de otro daño económico de similar sustancia y por análogo motivo. De lo contrario, se configuraría una injustificada duplicidad resarcitoria  por el mismo título” </w:t>
      </w:r>
      <w:r>
        <w:rPr>
          <w:lang w:val="es-AR" w:eastAsia="es-AR" w:bidi="es-AR"/>
        </w:rPr>
        <w:t xml:space="preserve">(SC Mendoza, Sala I, 16/3/95, </w:t>
      </w:r>
      <w:r>
        <w:rPr>
          <w:i/>
          <w:lang w:val="es-AR" w:eastAsia="es-AR" w:bidi="es-AR"/>
        </w:rPr>
        <w:t xml:space="preserve">“Belgrano Soc. Coop. Ltda. de Seg. O otra en Cerrutti, Olguín A. c José Capel s/ Daños y perjuicios,”</w:t>
      </w:r>
      <w:r>
        <w:rPr>
          <w:lang w:val="es-AR" w:eastAsia="es-AR" w:bidi="es-AR"/>
        </w:rPr>
        <w:t xml:space="preserve"> en Jurisprudencia de Mendoza, oct. 1995, pag. 26).-</w:t>
      </w:r>
    </w:p>
    <w:p>
      <w:pPr>
        <w:pStyle w:val="[Normal]"/>
        <w:spacing w:line="360" w:lineRule="auto"/>
        <w:ind w:firstLine="1134"/>
        <w:jc w:val="both"/>
        <w:rPr>
          <w:lang w:val="es-AR" w:eastAsia="es-AR" w:bidi="es-AR"/>
        </w:rPr>
      </w:pPr>
      <w:r>
        <w:rPr>
          <w:lang w:val="es-AR" w:eastAsia="es-AR" w:bidi="es-AR"/>
        </w:rPr>
        <w:t xml:space="preserve">Por otro lado, el argumento de que la suma reconocida no permitiría cubrir el costo de determinadas actividades recreativas resulta ajeno a la función del rubro, que no tiene por objeto financiar consumos específicos sino reconocer, en términos indemnizatorios, el impacto negativo sufrido en la esfera íntima del damnificado. No se trata de una compensación patrimonializable por equivalencia, sino de una evaluación global de un padecimiento que, por su naturaleza, es inasible en términos estrictamente económicos.</w:t>
      </w:r>
    </w:p>
    <w:p>
      <w:pPr>
        <w:pStyle w:val="[Normal]"/>
        <w:spacing w:line="360" w:lineRule="auto"/>
        <w:ind w:firstLine="1134"/>
        <w:jc w:val="both"/>
        <w:rPr>
          <w:lang w:val="es-AR" w:eastAsia="es-AR" w:bidi="es-AR"/>
        </w:rPr>
      </w:pPr>
      <w:r>
        <w:rPr>
          <w:lang w:val="es-AR" w:eastAsia="es-AR" w:bidi="es-AR"/>
        </w:rPr>
        <w:t xml:space="preserve">En ese marco, si bien la lógica del Código vigente no excluye, e incluso admite, criterios que incorporen una perspectiva funcional del daño moral, como ocurre con la denominada teoría de los placeres compensatorios, ello no significa que cualquier invocación de dicha teoría implique que la suma indemnizatoria deba tener por objeto cubrir concretamente el costo de actividades recreativas, terapéuticas o culturales. </w:t>
      </w:r>
    </w:p>
    <w:p>
      <w:pPr>
        <w:pStyle w:val="[Normal]"/>
        <w:spacing w:line="360" w:lineRule="auto"/>
        <w:ind w:firstLine="1134"/>
        <w:jc w:val="both"/>
        <w:rPr>
          <w:lang w:val="es-AR" w:eastAsia="es-AR" w:bidi="es-AR"/>
        </w:rPr>
      </w:pPr>
      <w:r>
        <w:rPr>
          <w:lang w:val="es-AR" w:eastAsia="es-AR" w:bidi="es-AR"/>
        </w:rPr>
        <w:t xml:space="preserve">En este sentido, es posible afirmar que la normativa vigente es compatible con una interpretación que contemple la necesidad de restaurar un equilibrio existencial alterado, permitiendo a la víctima acceder, eventualmente, a bienes o experiencias que le otorguen satisfacción o bienestar en reemplazo del padecimiento sufrido. Pero esa posibilidad no convierte al daño moral en un rubro patrimonializable ni exige vincularlo con costos de mercado específicos, como los precios de actividades recreativas actuales, ni legitima por sí sola el cuestionamiento de una suma establecida conforme a parámetros prudentes.</w:t>
      </w:r>
    </w:p>
    <w:p>
      <w:pPr>
        <w:pStyle w:val="[Normal]"/>
        <w:spacing w:line="360" w:lineRule="auto"/>
        <w:ind w:firstLine="1134"/>
        <w:jc w:val="both"/>
        <w:rPr>
          <w:lang w:val="es-AR" w:eastAsia="es-AR" w:bidi="es-AR"/>
        </w:rPr>
      </w:pPr>
      <w:r>
        <w:rPr>
          <w:lang w:val="es-AR" w:eastAsia="es-AR" w:bidi="es-AR"/>
        </w:rPr>
        <w:t xml:space="preserve">Lo relevante en esta instancia es que no se ha acreditado que la solución dispuesta por el a quo se haya desviado del estándar de una reparación justa, entendida como aquella que guarde proporción con la entidad del agravio, sin incurrir en excesos ni insuficiencias manifiestas. La cuantía reconocida tuvo en cuenta las lesiones físicas, la afectación estética (de entidad moderada), la edad de la víctima y el proceso de recuperación prolongado, sin que se advierta irrazonabilidad en su estimación.</w:t>
      </w:r>
    </w:p>
    <w:p>
      <w:pPr>
        <w:pStyle w:val="[Normal]"/>
        <w:spacing w:line="360" w:lineRule="auto"/>
        <w:ind w:firstLine="1134"/>
        <w:jc w:val="both"/>
        <w:rPr>
          <w:lang w:val="es-AR" w:eastAsia="es-AR" w:bidi="es-AR"/>
        </w:rPr>
      </w:pPr>
      <w:r>
        <w:rPr>
          <w:lang w:val="es-AR" w:eastAsia="es-AR" w:bidi="es-AR"/>
        </w:rPr>
        <w:t xml:space="preserve">En definitiva, la suma reconocida no se muestra irrisoria ni disociada de los estándares jurisprudenciales aplicables en casos de similar gravedad, y se encuentra sujeta a intereses desde la fecha del hecho, lo que contribuye a mantener su valor real al momento del cumplimiento de la condena.</w:t>
      </w:r>
    </w:p>
    <w:p>
      <w:pPr>
        <w:pStyle w:val="[Normal]"/>
        <w:spacing w:line="360" w:lineRule="auto"/>
        <w:ind w:firstLine="1134"/>
        <w:jc w:val="both"/>
        <w:rPr>
          <w:lang w:val="es-AR" w:eastAsia="es-AR" w:bidi="es-AR"/>
        </w:rPr>
      </w:pPr>
      <w:r>
        <w:rPr>
          <w:lang w:val="es-AR" w:eastAsia="es-AR" w:bidi="es-AR"/>
        </w:rPr>
        <w:t xml:space="preserve">En consecuencia, no se advierte mérito para modificar la cuantificación efectuada por el a quo, por lo que el agravio debe ser rechazado.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Dra.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los recursos de apelación interpuestos y en su mérito, confirmar la sentencia de primera instancia en todas sus partes.</w:t>
      </w:r>
    </w:p>
    <w:p>
      <w:pPr>
        <w:pStyle w:val="[Normal]"/>
        <w:spacing w:line="360" w:lineRule="auto"/>
        <w:ind w:firstLine="1134"/>
        <w:jc w:val="both"/>
        <w:rPr>
          <w:lang w:val="es-AR" w:eastAsia="es-AR" w:bidi="es-AR"/>
        </w:rPr>
      </w:pPr>
      <w:r>
        <w:rPr>
          <w:lang w:val="es-AR" w:eastAsia="es-AR" w:bidi="es-AR"/>
        </w:rPr>
        <w:t xml:space="preserve">Atento el modo de resolver las cuestiones, las costas de Alzada se imponen por su orden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de los letrados, para su oportunidad (Art. 31 ley arancelaria).</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Dra.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los recursos de apelación interpuestos y en su mérito, confirmar la sentencia de primera instancia en todas sus partes.</w:t>
      </w:r>
    </w:p>
    <w:p>
      <w:pPr>
        <w:pStyle w:val="[Normal]"/>
        <w:spacing w:line="360" w:lineRule="auto"/>
        <w:ind w:firstLine="1134"/>
        <w:jc w:val="both"/>
        <w:rPr>
          <w:lang w:val="es-AR" w:eastAsia="es-AR" w:bidi="es-AR"/>
        </w:rPr>
      </w:pPr>
      <w:r>
        <w:rPr>
          <w:lang w:val="es-AR" w:eastAsia="es-AR" w:bidi="es-AR"/>
        </w:rPr>
        <w:t xml:space="preserve">Atento el modo de resolver las cuestiones, las costas de Alzada se imponen por su orden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de los letrados,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10/02/2026 10:18:25 -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10/02/2026 11:00:48 -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10/02/2026 11:13:29 -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‰7ƒ")è&amp;n^\=Š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239902090006786260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10/02/2026 11:15:08 hs. bajo el número RS-3-2026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