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5876-25</w:t>
      </w:r>
      <w:r>
        <w:rPr>
          <w:lang w:val="es-AR" w:eastAsia="es-AR" w:bidi="es-AR"/>
        </w:rPr>
        <w:t xml:space="preserve"> caratulada </w:t>
      </w:r>
      <w:r>
        <w:rPr>
          <w:b/>
          <w:lang w:val="es-AR" w:eastAsia="es-AR" w:bidi="es-AR"/>
        </w:rPr>
        <w:t xml:space="preserve">"</w:t>
      </w:r>
      <w:r>
        <w:rPr>
          <w:b/>
          <w:color w:val="000000"/>
          <w:lang w:val="es-AR" w:eastAsia="es-AR" w:bidi="es-AR"/>
        </w:rPr>
        <w:t xml:space="preserve">CABRERA ROBERTO EZEQUIEL C/ COOPERACION MUTUAL PATRONAL SMSG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67.269</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rechazó la demanda que instaurara </w:t>
      </w:r>
      <w:r>
        <w:rPr>
          <w:color w:val="000000"/>
          <w:lang w:val="es-AR" w:eastAsia="es-AR" w:bidi="es-AR"/>
        </w:rPr>
        <w:t xml:space="preserve"> Roberto Ezequiel Cabrera</w:t>
      </w:r>
      <w:r>
        <w:rPr>
          <w:lang w:val="es-AR" w:eastAsia="es-AR" w:bidi="es-AR"/>
        </w:rPr>
        <w:t xml:space="preserve"> por vía de juicio sumario contra </w:t>
      </w:r>
      <w:r>
        <w:rPr>
          <w:color w:val="000000"/>
          <w:lang w:val="es-AR" w:eastAsia="es-AR" w:bidi="es-AR"/>
        </w:rPr>
        <w:t xml:space="preserve">Manfredi Raúl Balbino; Avalos Carolina Elizabet</w:t>
      </w:r>
      <w:r>
        <w:rPr>
          <w:lang w:val="es-AR" w:eastAsia="es-AR" w:bidi="es-AR"/>
        </w:rPr>
        <w:t xml:space="preserve"> y </w:t>
      </w:r>
      <w:r>
        <w:rPr>
          <w:color w:val="000000"/>
          <w:lang w:val="es-AR" w:eastAsia="es-AR" w:bidi="es-AR"/>
        </w:rPr>
        <w:t xml:space="preserve">Cooperación Mutual Patronal S. M. S. G. </w:t>
      </w:r>
      <w:r>
        <w:rPr>
          <w:lang w:val="es-AR" w:eastAsia="es-AR" w:bidi="es-AR"/>
        </w:rPr>
        <w:t xml:space="preserve">Aplicó las costas a la parte actora y difirió la regulación de honorarios de los letrados intervinientes y de los peritos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2-10-2025 por la parte actora, concedido el 6-10-2025 libremente y ambos efectos.  </w:t>
      </w:r>
    </w:p>
    <w:p>
      <w:pPr>
        <w:pStyle w:val="[Normal]"/>
        <w:spacing w:line="360" w:lineRule="auto"/>
        <w:ind w:firstLine="1134"/>
        <w:jc w:val="both"/>
        <w:rPr>
          <w:lang w:val="es-AR" w:eastAsia="es-AR" w:bidi="es-AR"/>
        </w:rPr>
      </w:pPr>
      <w:r>
        <w:rPr>
          <w:lang w:val="es-AR" w:eastAsia="es-AR" w:bidi="es-AR"/>
        </w:rPr>
        <w:t xml:space="preserve">Elevados los autos a esta Alzada con fecha 28-10-2025 se ordenó expresar agravios a la parte actora, quien o funda el 4-11-2025, habiendo la contraria contestado el traslado conferido el 10-11-2025. En fecha 13-11-2025 se dicta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actor apontocando su queja sobre la atribución total de la responsabilidad a su parte  en el siniestro, señalando que transitaba con prudencia y respetando las normas.  Admite que si bien el demandado venia circulando por su derecha y tenía prioridad de paso, ésta no es absoluta y debió evaluarse en conjunto y repartir el aporte causal, citando el testimonio de Ramirez y explicando porqué debió ser tomado el mismo para decidir en forma distinto a como se hizo.  Impetrando se colija con la prueba pericial mecánica, de donde extrae a su criterio que la alta velocidad del demandado se evidenciaría en los rastros y restos plástico de 19,20 metros que indica el impacto recibido.  A lo que aduna la confesión ficta del demandado Manfredi (audiencia de fecha 12/05/25) y que no ha sido desvirtuada  con prueba en contrario.-</w:t>
      </w:r>
    </w:p>
    <w:p>
      <w:pPr>
        <w:pStyle w:val="[Normal]"/>
        <w:spacing w:line="360" w:lineRule="auto"/>
        <w:ind w:firstLine="1134"/>
        <w:jc w:val="both"/>
        <w:rPr>
          <w:lang w:val="es-AR" w:eastAsia="es-AR" w:bidi="es-AR"/>
        </w:rPr>
      </w:pPr>
      <w:r>
        <w:rPr>
          <w:lang w:val="es-AR" w:eastAsia="es-AR" w:bidi="es-AR"/>
        </w:rPr>
        <w:t xml:space="preserve">Ataca la liberación de la codemandada Avalos cuando no fue planteada ni por la misma ni por la aseguradora.-</w:t>
      </w:r>
    </w:p>
    <w:p>
      <w:pPr>
        <w:pStyle w:val="[Normal]"/>
        <w:spacing w:line="360" w:lineRule="auto"/>
        <w:ind w:firstLine="1134"/>
        <w:jc w:val="both"/>
        <w:rPr>
          <w:lang w:val="es-AR" w:eastAsia="es-AR" w:bidi="es-AR"/>
        </w:rPr>
      </w:pPr>
      <w:r>
        <w:rPr>
          <w:lang w:val="es-AR" w:eastAsia="es-AR" w:bidi="es-AR"/>
        </w:rPr>
        <w:t xml:space="preserve">Pese a que la demanda fue rechazada trae  el tema de los rubros y sus montos.-</w:t>
      </w:r>
    </w:p>
    <w:p>
      <w:pPr>
        <w:pStyle w:val="[Normal]"/>
        <w:spacing w:line="360" w:lineRule="auto"/>
        <w:ind w:firstLine="1134"/>
        <w:jc w:val="both"/>
        <w:rPr>
          <w:lang w:val="es-AR" w:eastAsia="es-AR" w:bidi="es-AR"/>
        </w:rPr>
      </w:pPr>
      <w:r>
        <w:rPr>
          <w:lang w:val="es-AR" w:eastAsia="es-AR" w:bidi="es-AR"/>
        </w:rPr>
        <w:t xml:space="preserve">La contraria pide la declaración de deserción por insuficiencia técnica del escrito de agravios (art. 261 del CPCC y su doctrina).-</w:t>
      </w:r>
    </w:p>
    <w:p>
      <w:pPr>
        <w:pStyle w:val="[Normal]"/>
        <w:spacing w:line="360" w:lineRule="auto"/>
        <w:ind w:firstLine="1134"/>
        <w:jc w:val="both"/>
        <w:rPr>
          <w:lang w:val="es-AR" w:eastAsia="es-AR" w:bidi="es-AR"/>
        </w:rPr>
      </w:pPr>
      <w:r>
        <w:rPr>
          <w:lang w:val="es-AR" w:eastAsia="es-AR" w:bidi="es-AR"/>
        </w:rPr>
        <w:t xml:space="preserve">Entrando a resolver la plataforma fáctica acreditada dio cuenta de un siniestro ocurrido el día 1/08/2022 aproximadamente a las 12,45 hs. entre una motocicleta Motomel Dominio 281 DWX al comando de Ezequiel Cabrera que circulaba por calle Sarratea con dirección hacia Bvard. Paraguay y al llegar a la intersección con calle Irlanda, se produce una colisión con el automóvil Marca Toyota Corolla, Dominio DOA545 conducido en el evento por Raúl Balbino Manfredi, del cual resulta lesionado el primero y en base al mismo despliega su pretensión indemnizatoria contra la parte demandada y la citada en garantía Cooperación Mutual patronal SMSG, la que fuera desestimada por el juez de grado.-</w:t>
      </w:r>
    </w:p>
    <w:p>
      <w:pPr>
        <w:pStyle w:val="[Normal]"/>
        <w:spacing w:line="360" w:lineRule="auto"/>
        <w:ind w:firstLine="1134"/>
        <w:jc w:val="both"/>
        <w:rPr>
          <w:lang w:val="es-AR" w:eastAsia="es-AR" w:bidi="es-AR"/>
        </w:rPr>
      </w:pPr>
      <w:r>
        <w:rPr>
          <w:lang w:val="es-AR" w:eastAsia="es-AR" w:bidi="es-AR"/>
        </w:rPr>
        <w:t xml:space="preserve">El disgusto que recae sobre la atribución total de responsabilidad al quejoso decidido por el aquo,  no puede ser recibido.  Es que no surgen elementos que permitan acreditar que hubo un aporte causal del demandado para alcanzar resultado distinto.-</w:t>
      </w:r>
    </w:p>
    <w:p>
      <w:pPr>
        <w:pStyle w:val="[Normal]"/>
        <w:spacing w:line="360" w:lineRule="auto"/>
        <w:ind w:firstLine="1134"/>
        <w:jc w:val="both"/>
        <w:rPr>
          <w:lang w:val="es-AR" w:eastAsia="es-AR" w:bidi="es-AR"/>
        </w:rPr>
      </w:pPr>
      <w:r>
        <w:rPr>
          <w:lang w:val="es-AR" w:eastAsia="es-AR" w:bidi="es-AR"/>
        </w:rPr>
        <w:t xml:space="preserve">Para empezar la prioridad de paso la tenía el demandado, este dato recabado con las actuaciones de la IPP 5194-22/00 que tengo a la vista: parte preventivo de fs. 5, acta de procedimiento de fs. 1 a 4, constatación de daños de la moto y del rodado (fs. 8 y 17, acta de levantamiento de rastros de fs. 41/42, informe pericial de fs. 44 , fotografías de fs. 1 a 4, planimétrica de fs. 5, y fotografías de fs. 6 a 39, todos estos datos también recabados en el informe de sede civil quien ratifica la experticia producida en el fuero  penal de fecha 17 de octubre de 2022.-</w:t>
      </w:r>
    </w:p>
    <w:p>
      <w:pPr>
        <w:pStyle w:val="[Normal]"/>
        <w:spacing w:line="360" w:lineRule="auto"/>
        <w:ind w:firstLine="1134"/>
        <w:jc w:val="both"/>
        <w:rPr>
          <w:lang w:val="es-AR" w:eastAsia="es-AR" w:bidi="es-AR"/>
        </w:rPr>
      </w:pPr>
      <w:r>
        <w:rPr>
          <w:lang w:val="es-AR" w:eastAsia="es-AR" w:bidi="es-AR"/>
        </w:rPr>
        <w:t xml:space="preserve">De la misma se extrae el lugar de los hechos, que no hay semáforo, que es una zona urbana con edificaciones y que la calle Sarratea posee un sentido único de circulación norte-sur, con asfalto en buen estado y la calle Irlanda con sentido de circulación oeste-este.-</w:t>
      </w:r>
    </w:p>
    <w:p>
      <w:pPr>
        <w:pStyle w:val="[Normal]"/>
        <w:spacing w:line="360" w:lineRule="auto"/>
        <w:ind w:firstLine="1134"/>
        <w:jc w:val="both"/>
        <w:rPr>
          <w:lang w:val="es-AR" w:eastAsia="es-AR" w:bidi="es-AR"/>
        </w:rPr>
      </w:pPr>
      <w:r>
        <w:rPr>
          <w:lang w:val="es-AR" w:eastAsia="es-AR" w:bidi="es-AR"/>
        </w:rPr>
        <w:t xml:space="preserve">De la mecánica del accidente no se extrae elementos que permitan como pretende el quejoso una hipótesis diferente.</w:t>
      </w:r>
    </w:p>
    <w:p>
      <w:pPr>
        <w:pStyle w:val="[Normal]"/>
        <w:spacing w:line="360" w:lineRule="auto"/>
        <w:ind w:firstLine="1134"/>
        <w:jc w:val="both"/>
        <w:rPr>
          <w:lang w:val="es-AR" w:eastAsia="es-AR" w:bidi="es-AR"/>
        </w:rPr>
      </w:pPr>
      <w:r>
        <w:rPr>
          <w:lang w:val="es-AR" w:eastAsia="es-AR" w:bidi="es-AR"/>
        </w:rPr>
        <w:t xml:space="preserve">La experticia no define la velocidad del rodado Toyota, por el contrario dice que "carece de elementos técnicos objetivos para determinar si los rastros CD raspones y restos plásticos de 19,20 metros fueron demarcados por acción de arrastre de la motocicleta Motomel, o por su deslizamiento sobre el asfalto posterior al impacto, habiéndose removido de su posición final el automóvil Toyota, encontrándose ambos móviles al momento de la constatación en la posición final que se observa en planimetría" de ningún modo surge una mayor velocidad como pretende achacarle el doliente.-</w:t>
      </w:r>
    </w:p>
    <w:p>
      <w:pPr>
        <w:pStyle w:val="[Normal]"/>
        <w:spacing w:line="360" w:lineRule="auto"/>
        <w:ind w:firstLine="1134"/>
        <w:jc w:val="both"/>
        <w:rPr>
          <w:lang w:val="es-AR" w:eastAsia="es-AR" w:bidi="es-AR"/>
        </w:rPr>
      </w:pPr>
      <w:r>
        <w:rPr>
          <w:lang w:val="es-AR" w:eastAsia="es-AR" w:bidi="es-AR"/>
        </w:rPr>
        <w:t xml:space="preserve">Tampoco el carácter de embistente físico incide en el resultado, siendo reiterada jurisprudencia que "En los supuestos en que debe dirimirse la controversia de la responsabilidad en circunstancias en que corresponde "subsumir" la cuestión en los términos del art. 57 de la ley 11.430, no puede concederse que se cree por la "mera condición" de "embistente" o "embestido" una presunción "iuris tantum" de responsabilidad acudiendo a esa primera calificación, pues en definitiva el concluir desde el punto de vista físico o mecánico en esos juicios no expone concluyentemente donde radica la culpa y la causalidad del suceso, pues en la secuencia final del choque y cuando ya se han signado los procederes de sus protagonistas por el comportamiento infraccional y relevante causal del mismo, los aludidos roles obedecen las más de las veces a conductas instintivas irremediables o meramente defensivas ante la inminencia del embestimiento (arts. 512, 901, 906, 1109, 1113 del C. Civil) CC0203 LP 112543 RSD-109-10 S 10/08/2010 Juez BILLORDO (SD) Carátula: C., L. J. c/J., C. A. y otros s/Daños y Perjuicios.-</w:t>
      </w:r>
    </w:p>
    <w:p>
      <w:pPr>
        <w:pStyle w:val="[Normal]"/>
        <w:spacing w:line="360" w:lineRule="auto"/>
        <w:ind w:firstLine="1134"/>
        <w:jc w:val="both"/>
        <w:rPr>
          <w:lang w:val="es-AR" w:eastAsia="es-AR" w:bidi="es-AR"/>
        </w:rPr>
      </w:pPr>
      <w:r>
        <w:rPr>
          <w:lang w:val="es-AR" w:eastAsia="es-AR" w:bidi="es-AR"/>
        </w:rPr>
        <w:t xml:space="preserve">Y "el hecho físico de que un vehículo embista a otro, por sí sólo, en principio carece de idoneidad suficiente para determinar responsabilidades definitivas, demostrando la experiencia diaria que son numerosas las oportunidades en que un conductor se pone en situación de embestido, realizando prohibidas maniobras de adelantamiento por lo cual, las respectivas calidades de embistente y embestido, si bien válidas en algunos casos, no dejan de ser una concurrente más, pues de lo que se trata en principio, es de evaluar conductas. Es que a fin de determinar la culpa en un accidente de tránsito vehícular, no cabe hablar de embistente o embestido, sino de agente activo en la producción del siniestro. Esta figura pertenece a la disciplina del derecho, en tanto que el concepto de embistente, pertenece a la rama de la dinámica. CC0000 DO 84863 RSD-318-7 S 20/12/2007 Juez DABADIE (SD) Carátula: Romero María Amelia c/Cejas Guillermo Andrés s/Daños y perjuicios Magistrados Votantes: Dabadie-Hankovits.-</w:t>
      </w:r>
    </w:p>
    <w:p>
      <w:pPr>
        <w:pStyle w:val="[Normal]"/>
        <w:spacing w:line="360" w:lineRule="auto"/>
        <w:ind w:firstLine="1134"/>
        <w:jc w:val="both"/>
        <w:rPr>
          <w:lang w:val="es-AR" w:eastAsia="es-AR" w:bidi="es-AR"/>
        </w:rPr>
      </w:pPr>
      <w:r>
        <w:rPr>
          <w:lang w:val="es-AR" w:eastAsia="es-AR" w:bidi="es-AR"/>
        </w:rPr>
        <w:t xml:space="preserve">A mayor abundamiento "No es relevante tampoco evaluar la condición de embistente o embestido, y asignarle a ella una significación presuncional de culpabilidad o causalidad, pues además que ello solo traduce un matiz de análisis de orden físico, debe tenerse especialmente en cuenta que esa circunstancia se aprecia en la fase final de eventos de estas características, y siendo determinada la más de las veces por procederes instintivos o inevitables ante el antecedente fáctico que ya tradujo el aporte de culpabilidad o causalidad, y que en definitiva es el determinante causal y donde se asienta la responsabilidad (art. 512, 901,1113 del C. Civil).CCI Art. 901 | CCI Art. 512 | CCI Art. 1113 |CC0203 LP 106632 RSD-170-6 S 28/09/2006 Juez BILLORDO (SD).-</w:t>
      </w:r>
    </w:p>
    <w:p>
      <w:pPr>
        <w:pStyle w:val="[Normal]"/>
        <w:spacing w:line="360" w:lineRule="auto"/>
        <w:ind w:firstLine="1134"/>
        <w:jc w:val="both"/>
        <w:rPr>
          <w:lang w:val="es-AR" w:eastAsia="es-AR" w:bidi="es-AR"/>
        </w:rPr>
      </w:pPr>
      <w:r>
        <w:rPr>
          <w:lang w:val="es-AR" w:eastAsia="es-AR" w:bidi="es-AR"/>
        </w:rPr>
        <w:t xml:space="preserve">Entonces, dos de los presupuestos invocados por el doliente relativos a velocidad y carácter de embistente para modificar el decisorio, no pueden ser admitidos.-</w:t>
      </w:r>
    </w:p>
    <w:p>
      <w:pPr>
        <w:pStyle w:val="[Normal]"/>
        <w:spacing w:line="360" w:lineRule="auto"/>
        <w:ind w:firstLine="1134"/>
        <w:jc w:val="both"/>
        <w:rPr>
          <w:lang w:val="es-AR" w:eastAsia="es-AR" w:bidi="es-AR"/>
        </w:rPr>
      </w:pPr>
      <w:r>
        <w:rPr>
          <w:lang w:val="es-AR" w:eastAsia="es-AR" w:bidi="es-AR"/>
        </w:rPr>
        <w:t xml:space="preserve">Tampoco el que controvierte la prioridad de paso que tenía el rodado, ya que si bien es cierto que no es un bill de indemnidad para quien lo goza, tampoco puede soslayarse el mismo cuando no hay elementos que los neutralizen, puesto que es una regla de circulación ordenadora y reguladora de fatal importancia.-</w:t>
      </w:r>
    </w:p>
    <w:p>
      <w:pPr>
        <w:pStyle w:val="[Normal]"/>
        <w:spacing w:line="360" w:lineRule="auto"/>
        <w:ind w:firstLine="1134"/>
        <w:jc w:val="both"/>
        <w:rPr>
          <w:lang w:val="es-AR" w:eastAsia="es-AR" w:bidi="es-AR"/>
        </w:rPr>
      </w:pPr>
      <w:r>
        <w:rPr>
          <w:lang w:val="es-AR" w:eastAsia="es-AR" w:bidi="es-AR"/>
        </w:rPr>
        <w:t xml:space="preserve">La demandada venía circulando por su derecha y al respecto debo señalar que la preferencia de paso del conductor que arriba por la derecha de la encrucijada, si bien no funciona en el vacío, constituye una regla fundamental y también de carácter objetivo, en orden a analizar y decidir la responsabilidad que corresponde en una colisión entre automotores, conforme la normativa señalada.  "Es que se trata, no solo de un principio de seguridad en el tránsito, sino de una regla de convivencia social establecida por el legislador.  Además, las normas de tránsito no son puras declaraciones académicas o requisitos para aprobar un examen habilitante, sino que están dadas para ser cumplidas, por lo que corresponde considerarlas en el plexo de circunstancias atinentes, en oportunidad de decidir la responsabilidad" (CCI Art. 13 CC0201LP, B 79926, RSD 96-95, S, 2-5-1995, Juez CRESPI (SD) CARATULA Maiztegui, Miguel Angel c/Benvenuto Julio César y otro s/Daños y Perjuicios MAG Votantes Crespi-Sosa).-</w:t>
      </w:r>
    </w:p>
    <w:p>
      <w:pPr>
        <w:pStyle w:val="[Normal]"/>
        <w:spacing w:line="360" w:lineRule="auto"/>
        <w:ind w:firstLine="1134"/>
        <w:jc w:val="both"/>
        <w:rPr>
          <w:lang w:val="es-AR" w:eastAsia="es-AR" w:bidi="es-AR"/>
        </w:rPr>
      </w:pPr>
      <w:r>
        <w:rPr>
          <w:lang w:val="es-AR" w:eastAsia="es-AR" w:bidi="es-AR"/>
        </w:rPr>
        <w:t xml:space="preserve">De tal manera "Quien pretende soslayar la regla que obliga a ceder el paso del vehículo que se presenta por la derecha, debe aportar concluyentes pruebas en apoyo de su tesis, pues se trata de nada menos que de invalidar la aplicación de una norma positiva.  Y esto es así, porque el conductor que tiene preferencia de paso puede creer, con justa razón que quien guía el otro automóvil, obligado a conocer las disposiciones vigentes se lo cedería (art. 20 Cód. Civil), por lo que continúa su marcha normal y al ocurrir la transgresión se ve sorprendido por esa irregular conducta, lo cual le impide contar con el tiempo necesario para maniobrar y evitar el choque" (Cfr C.C. L.P. B 69976 R.S.D. 188-90).-</w:t>
      </w:r>
    </w:p>
    <w:p>
      <w:pPr>
        <w:pStyle w:val="[Normal]"/>
        <w:spacing w:line="360" w:lineRule="auto"/>
        <w:ind w:firstLine="1134"/>
        <w:jc w:val="both"/>
        <w:rPr>
          <w:lang w:val="es-AR" w:eastAsia="es-AR" w:bidi="es-AR"/>
        </w:rPr>
      </w:pPr>
      <w:r>
        <w:rPr>
          <w:lang w:val="es-AR" w:eastAsia="es-AR" w:bidi="es-AR"/>
        </w:rPr>
        <w:t xml:space="preserve">Por todo ello, no habiendo podido el apelante destruir el presupuesto que el juez desarrollara para rechazar la pretensión, esto es la conducta del demandante como factor exclusivo del accidente que diera base al reclamo actoral es que propongo al acuerdo confirmar lo decidido en primera instancia (Arts. 1724, 1725, 1726, 1729, 1734, 1736, 1757, 1758, 1769 y ccs. C.C.C.N).-</w:t>
      </w:r>
    </w:p>
    <w:p>
      <w:pPr>
        <w:pStyle w:val="[Normal]"/>
        <w:spacing w:line="360" w:lineRule="auto"/>
        <w:ind w:firstLine="1134"/>
        <w:jc w:val="both"/>
        <w:rPr>
          <w:lang w:val="es-AR" w:eastAsia="es-AR" w:bidi="es-AR"/>
        </w:rPr>
      </w:pPr>
      <w:r>
        <w:rPr>
          <w:lang w:val="es-AR" w:eastAsia="es-AR" w:bidi="es-AR"/>
        </w:rPr>
        <w:t xml:space="preserve">Los dichos del testigo mencionado en los agravios no tienen la entidad suficiente para modificar los aspectos considerados, aún cuando su relato no sea inhábil.  Es que la sana crítica particularmente aplicada a la valoración de la prueba testimonial aconseja ponderar con real cautela la virtualidad probatoria de testigos vinculados a la demandante, y advertir que una diligencia mínima, ajustada a su rol en el proceso, exigía a los actores reforzar la prueba a producir, ofreciendo cuanto menos un testigo presencial imparcial del siniestro.-</w:t>
      </w:r>
    </w:p>
    <w:p>
      <w:pPr>
        <w:pStyle w:val="[Normal]"/>
        <w:spacing w:line="360" w:lineRule="auto"/>
        <w:ind w:firstLine="1134"/>
        <w:jc w:val="both"/>
        <w:rPr>
          <w:lang w:val="es-AR" w:eastAsia="es-AR" w:bidi="es-AR"/>
        </w:rPr>
      </w:pPr>
      <w:r>
        <w:rPr>
          <w:lang w:val="es-AR" w:eastAsia="es-AR" w:bidi="es-AR"/>
        </w:rPr>
        <w:t xml:space="preserve">"Los jueces de grado tienen amplias facultades para apreciar la idoneidad de los testigos, ya que la valoración de la prueba en general y el análisis de la testimonial en especial son típicas cuestiones de hecho, quedando éstas libres de censura en sede de casación mientras no se alegue y se demuestre de modo concluyente que son el resultado de razonamientos viciados por el absurdo (CC0202 LP 125951 291 S 05/11/2019).-</w:t>
      </w:r>
    </w:p>
    <w:p>
      <w:pPr>
        <w:pStyle w:val="[Normal]"/>
        <w:spacing w:line="360" w:lineRule="auto"/>
        <w:ind w:firstLine="1134"/>
        <w:jc w:val="both"/>
        <w:rPr>
          <w:lang w:val="es-AR" w:eastAsia="es-AR" w:bidi="es-AR"/>
        </w:rPr>
      </w:pPr>
      <w:r>
        <w:rPr>
          <w:lang w:val="es-AR" w:eastAsia="es-AR" w:bidi="es-AR"/>
        </w:rPr>
        <w:t xml:space="preserve">No advierto entonces parcialidad alguna en la valoración de la prueba producida y coincido con el resultado alcanzado proponiendo el rechazo de la queja.-</w:t>
      </w:r>
    </w:p>
    <w:p>
      <w:pPr>
        <w:pStyle w:val="[Normal]"/>
        <w:spacing w:line="360" w:lineRule="auto"/>
        <w:ind w:firstLine="1134"/>
        <w:jc w:val="both"/>
        <w:rPr>
          <w:lang w:val="es-AR" w:eastAsia="es-AR" w:bidi="es-AR"/>
        </w:rPr>
      </w:pPr>
      <w:r>
        <w:rPr>
          <w:lang w:val="es-AR" w:eastAsia="es-AR" w:bidi="es-AR"/>
        </w:rPr>
        <w:t xml:space="preserve">Los efectos de la confesión ficta del codemandado Manfredi (contrariamente a lo que sostiene el apelante), ha sido desvirtuado por la prueba en contrario ya analizada.- </w:t>
      </w:r>
    </w:p>
    <w:p>
      <w:pPr>
        <w:pStyle w:val="[Normal]"/>
        <w:spacing w:line="360" w:lineRule="auto"/>
        <w:ind w:firstLine="1134"/>
        <w:jc w:val="both"/>
        <w:rPr>
          <w:lang w:val="es-AR" w:eastAsia="es-AR" w:bidi="es-AR"/>
        </w:rPr>
      </w:pPr>
      <w:r>
        <w:rPr>
          <w:lang w:val="es-AR" w:eastAsia="es-AR" w:bidi="es-AR"/>
        </w:rPr>
        <w:t xml:space="preserve">Sabido es que "... debe apreciarse en su correlación con el resto de las pruebas atendiendo a las circunstancias de la causa, pues de lo contrario se haría prevalecer la ficción sobre la realidad y la decisión podría alejarse de la verdad material, siendo potestad privativa de los jueces de grado ponderar sus efectos, a cuyos fines tienen un amplio margen de discrecionalidad  (CC0202 LP 128883 RSD99/21 S 04/05/2021).</w:t>
      </w:r>
    </w:p>
    <w:p>
      <w:pPr>
        <w:pStyle w:val="[Normal]"/>
        <w:spacing w:line="360" w:lineRule="auto"/>
        <w:ind w:firstLine="1134"/>
        <w:jc w:val="both"/>
        <w:rPr>
          <w:lang w:val="es-AR" w:eastAsia="es-AR" w:bidi="es-AR"/>
        </w:rPr>
      </w:pPr>
      <w:r>
        <w:rPr>
          <w:lang w:val="es-AR" w:eastAsia="es-AR" w:bidi="es-AR"/>
        </w:rPr>
        <w:t xml:space="preserve">Sin duda alguna que tiene un valor probatorio relativo dado que han de tenerse por probados los hechos consignados en el pliego de posiciones, siempre que no resulten desvirtuados por prueba en contrario producida por el absolvente. Como aquí efectivamente ha acontecido.-</w:t>
      </w:r>
    </w:p>
    <w:p>
      <w:pPr>
        <w:pStyle w:val="[Normal]"/>
        <w:spacing w:line="360" w:lineRule="auto"/>
        <w:ind w:firstLine="1134"/>
        <w:jc w:val="both"/>
        <w:rPr>
          <w:lang w:val="es-AR" w:eastAsia="es-AR" w:bidi="es-AR"/>
        </w:rPr>
      </w:pPr>
      <w:r>
        <w:rPr>
          <w:lang w:val="es-AR" w:eastAsia="es-AR" w:bidi="es-AR"/>
        </w:rPr>
        <w:t xml:space="preserve">El juez está facultado para tener por ciertos los hechos señalados en las posiciones en rebeldía, pero en modo alguno obligado a acceder -por sola confesión ficta- automática o mecánicamente a las pretensiones deducidas (SCBA LP C 122892 S 12/02/2021).</w:t>
      </w:r>
    </w:p>
    <w:p>
      <w:pPr>
        <w:pStyle w:val="[Normal]"/>
        <w:spacing w:line="360" w:lineRule="auto"/>
        <w:ind w:firstLine="1134"/>
        <w:jc w:val="both"/>
        <w:rPr>
          <w:lang w:val="es-AR" w:eastAsia="es-AR" w:bidi="es-AR"/>
        </w:rPr>
      </w:pPr>
      <w:r>
        <w:rPr>
          <w:lang w:val="es-AR" w:eastAsia="es-AR" w:bidi="es-AR"/>
        </w:rPr>
        <w:t xml:space="preserve">Si bien la confesión ficta de una de las partes crea una situación desfavorable al absolvente, ésta puede ser destruida por los demás elementos de prueba arrimados al proceso (art. 415, C.P.C.C.). Tal medio probatorio debe ser apreciado en su correlación con el resto de las pruebas, atendiendo a las circunstancias de la causa, pues de lo contrario se haría prevalecer la ficción sobre la realidad (SCBA LP C 122892 S 12/02/2021).</w:t>
      </w:r>
    </w:p>
    <w:p>
      <w:pPr>
        <w:pStyle w:val="[Normal]"/>
        <w:spacing w:line="360" w:lineRule="auto"/>
        <w:ind w:firstLine="1134"/>
        <w:jc w:val="both"/>
        <w:rPr>
          <w:lang w:val="es-AR" w:eastAsia="es-AR" w:bidi="es-AR"/>
        </w:rPr>
      </w:pPr>
      <w:r>
        <w:rPr>
          <w:lang w:val="es-AR" w:eastAsia="es-AR" w:bidi="es-AR"/>
        </w:rPr>
        <w:t xml:space="preserve">Por último la sentencia desestimatoria que alcanza a Carolina Elizabeth Avalos es correcta, en cuanto la misma fue incluida como demandada en el libelo inicial.-</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confirmar la sentencia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obre la de primera instancia (art. 51 ley arancelaria).-</w:t>
      </w:r>
    </w:p>
    <w:p>
      <w:pPr>
        <w:pStyle w:val="[Normal]"/>
        <w:spacing w:line="360" w:lineRule="auto"/>
        <w:ind w:firstLine="1134"/>
        <w:jc w:val="both"/>
        <w:rPr>
          <w:lang w:val="es-AR" w:eastAsia="es-AR" w:bidi="es-AR"/>
        </w:rPr>
      </w:pPr>
      <w:r>
        <w:rPr>
          <w:lang w:val="es-AR" w:eastAsia="es-AR" w:bidi="es-AR"/>
        </w:rPr>
        <w:t xml:space="preserve">Devuélvase la causa penal traída a este Tribunal.-</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confirmar la sentencia en todas sus partes.-</w:t>
      </w:r>
    </w:p>
    <w:p>
      <w:pPr>
        <w:pStyle w:val="[Normal]"/>
        <w:spacing w:line="360" w:lineRule="auto"/>
        <w:ind w:firstLine="1134"/>
        <w:jc w:val="both"/>
        <w:rPr>
          <w:lang w:val="es-AR" w:eastAsia="es-AR" w:bidi="es-AR"/>
        </w:rPr>
      </w:pPr>
      <w:r>
        <w:rPr>
          <w:lang w:val="es-AR" w:eastAsia="es-AR" w:bidi="es-AR"/>
        </w:rPr>
        <w:t xml:space="preserve">Costas al apelante devinto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obre la de primera instancia (art. 51 ley arancelaria).-</w:t>
      </w:r>
    </w:p>
    <w:p>
      <w:pPr>
        <w:pStyle w:val="[Normal]"/>
        <w:spacing w:line="360" w:lineRule="auto"/>
        <w:ind w:firstLine="1134"/>
        <w:jc w:val="both"/>
        <w:rPr>
          <w:lang w:val="es-AR" w:eastAsia="es-AR" w:bidi="es-AR"/>
        </w:rPr>
      </w:pPr>
      <w:r>
        <w:rPr>
          <w:lang w:val="es-AR" w:eastAsia="es-AR" w:bidi="es-AR"/>
        </w:rPr>
        <w:t xml:space="preserve">Devuélvase la causa penal traída a este Tribunal.-</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20237896727@NOTIFICACIONES.SCBA.GOV.AR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20217740364@NOTIFICACIONES.SCBA.GOV.AR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24/02/2026 11:21:00 -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24/02/2026 11:35:38 -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24/02/2026 12:44:59 -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‰8‚")è&amp;nEO4Š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249802090006783747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24/02/2026 12:45:15 hs. bajo el número RS-12-2026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