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5859-25</w:t>
      </w:r>
      <w:r>
        <w:rPr>
          <w:lang w:val="es-AR" w:eastAsia="es-AR" w:bidi="es-AR"/>
        </w:rPr>
        <w:t xml:space="preserve"> caratulada </w:t>
      </w:r>
      <w:r>
        <w:rPr>
          <w:b/>
          <w:lang w:val="es-AR" w:eastAsia="es-AR" w:bidi="es-AR"/>
        </w:rPr>
        <w:t xml:space="preserve">"</w:t>
      </w:r>
      <w:r>
        <w:rPr>
          <w:b/>
          <w:color w:val="000000"/>
          <w:lang w:val="es-AR" w:eastAsia="es-AR" w:bidi="es-AR"/>
        </w:rPr>
        <w:t xml:space="preserve">MONZON DARIO JOSE  C/ NALDO LOMBARDI S.A S/ DAÑOS Y PERJUICIOS EXTRACONTRACTUAL (EXC. AUTOM./ESTADO)</w:t>
      </w:r>
      <w:r>
        <w:rPr>
          <w:b/>
          <w:lang w:val="es-AR" w:eastAsia="es-AR" w:bidi="es-AR"/>
        </w:rPr>
        <w:t xml:space="preserve">"</w:t>
      </w:r>
      <w:r>
        <w:rPr>
          <w:lang w:val="es-AR" w:eastAsia="es-AR" w:bidi="es-AR"/>
        </w:rPr>
        <w:t xml:space="preserve">, Expte. </w:t>
      </w:r>
      <w:r>
        <w:rPr>
          <w:color w:val="000000"/>
          <w:lang w:val="es-AR" w:eastAsia="es-AR" w:bidi="es-AR"/>
        </w:rPr>
        <w:t xml:space="preserve">89.883</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hizo</w:t>
      </w:r>
      <w:r>
        <w:rPr>
          <w:color w:val="000000"/>
          <w:lang w:val="es-AR" w:eastAsia="es-AR" w:bidi="es-AR"/>
        </w:rPr>
        <w:t xml:space="preserve"> lugar a la demanda instaurada por el actor, condenó en consecuencia a la demandada a abonar al mismo dentro de los diez días de notificada la presente, la suma de DOS MILLONES OCHOCIENTOS MIL Pesos ($2.800.000), con más los intereses arriba señalados a partir de la fecha de la mora (06/06/2024 carta documento) y hasta el momento de su efectivo pago (art. 768 C.C.C.N.). Aplicó las costas a la parte demandada que resulta vencida (art. 68 C.P.C.). Difirió la regulación de honorarios de los letrados intervinientes y de los peritos, hasta que medie firme la respectiva liquidación de intereses y gastos (art. 51 ley 14.967). </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6-9-2025 por la parte actora, concedido el 9-9-2025 en relación y con efecto devolutivo y del mismo traslado  a la parte demandada, quien el 15-9-2025 lo evacuo. Elevados los autos a esta Alzada con fecha 21-10-2025 llamamiento de autos, providencia, que firme a la fecha deja la causa en condiciones de ser fallada. </w:t>
      </w:r>
    </w:p>
    <w:p>
      <w:pPr>
        <w:pStyle w:val="[Normal]"/>
        <w:spacing w:line="360" w:lineRule="auto"/>
        <w:ind w:firstLine="1134"/>
        <w:jc w:val="both"/>
        <w:rPr>
          <w:lang w:val="es-AR" w:eastAsia="es-AR" w:bidi="es-AR"/>
        </w:rPr>
      </w:pPr>
      <w:r>
        <w:rPr>
          <w:lang w:val="es-AR" w:eastAsia="es-AR" w:bidi="es-AR"/>
        </w:rPr>
        <w:t xml:space="preserve">Los agravios del quejoso versan sobre la justipreciación  del daño patrimonial achacando que no se evaluó la necesidad de asistencia médica para su esposa de la que fue privado al no poder obtener el crédito en razón del informe erróneo de la demandada sobre su condición de moroso.-</w:t>
      </w:r>
    </w:p>
    <w:p>
      <w:pPr>
        <w:pStyle w:val="[Normal]"/>
        <w:spacing w:line="360" w:lineRule="auto"/>
        <w:ind w:firstLine="1134"/>
        <w:jc w:val="both"/>
        <w:rPr>
          <w:lang w:val="es-AR" w:eastAsia="es-AR" w:bidi="es-AR"/>
        </w:rPr>
      </w:pPr>
      <w:r>
        <w:rPr>
          <w:lang w:val="es-AR" w:eastAsia="es-AR" w:bidi="es-AR"/>
        </w:rPr>
        <w:t xml:space="preserve">Atribuye insuficiencia del importe dado en concepto de daño moral y se duele contra el monto del daño punitivo, acudiendo como parámetro a la canasta básica argumentando que al menos serían 2000 de ellas, e infiriendo de esa cuenta que se estaría en presencia de una multa de $ 2.400 millones, de lo cual lo dado dice representar el 0,66%.-</w:t>
      </w:r>
    </w:p>
    <w:p>
      <w:pPr>
        <w:pStyle w:val="[Normal]"/>
        <w:spacing w:line="360" w:lineRule="auto"/>
        <w:ind w:firstLine="1134"/>
        <w:jc w:val="both"/>
        <w:rPr>
          <w:lang w:val="es-AR" w:eastAsia="es-AR" w:bidi="es-AR"/>
        </w:rPr>
      </w:pPr>
      <w:r>
        <w:rPr>
          <w:lang w:val="es-AR" w:eastAsia="es-AR" w:bidi="es-AR"/>
        </w:rPr>
        <w:t xml:space="preserve">Indica que la empresa demandada no es un comercio de barrio sino que tiene diversos puntos de contacto, y asegura brindar una experiencia única al consumidor a través de sus distintas sucursales.-</w:t>
      </w:r>
    </w:p>
    <w:p>
      <w:pPr>
        <w:pStyle w:val="[Normal]"/>
        <w:spacing w:line="360" w:lineRule="auto"/>
        <w:ind w:firstLine="1134"/>
        <w:jc w:val="both"/>
        <w:rPr>
          <w:lang w:val="es-AR" w:eastAsia="es-AR" w:bidi="es-AR"/>
        </w:rPr>
      </w:pPr>
      <w:r>
        <w:rPr>
          <w:lang w:val="es-AR" w:eastAsia="es-AR" w:bidi="es-AR"/>
        </w:rPr>
        <w:t xml:space="preserve">Dice que el monto es tan insignificante que pasaría desapercibido y que han de tenerse en cuenta algunas pautas establecidas en doctrina tales como la gravedad del hecho cometido y la situación económica del demandado.- Cita un antecedente de este Tribunal para lograr un estado comparativo del monto.-</w:t>
      </w:r>
    </w:p>
    <w:p>
      <w:pPr>
        <w:pStyle w:val="[Normal]"/>
        <w:spacing w:line="360" w:lineRule="auto"/>
        <w:ind w:firstLine="1134"/>
        <w:jc w:val="both"/>
        <w:rPr>
          <w:lang w:val="es-AR" w:eastAsia="es-AR" w:bidi="es-AR"/>
        </w:rPr>
      </w:pPr>
      <w:r>
        <w:rPr>
          <w:lang w:val="es-AR" w:eastAsia="es-AR" w:bidi="es-AR"/>
        </w:rPr>
        <w:t xml:space="preserve">La contraria rebate los puntos propuestos al evacuar el traslado del memorial.-</w:t>
      </w:r>
    </w:p>
    <w:p>
      <w:pPr>
        <w:pStyle w:val="[Normal]"/>
        <w:spacing w:line="360" w:lineRule="auto"/>
        <w:ind w:firstLine="1134"/>
        <w:jc w:val="both"/>
        <w:rPr>
          <w:lang w:val="es-AR" w:eastAsia="es-AR" w:bidi="es-AR"/>
        </w:rPr>
      </w:pPr>
      <w:r>
        <w:rPr>
          <w:lang w:val="es-AR" w:eastAsia="es-AR" w:bidi="es-AR"/>
        </w:rPr>
        <w:t xml:space="preserve">Entrando a resolver de la plataforma fáctica luce la pretensión de reparación de los daños sufridos a consecuencia de la conducta de la demandada quien ordenó cargar los datos del accionante en la base de la empresa NOSIS como deudor moroso irrecuperable, relatando el accionante  que a mediados de mayo de 2024 solicitó un paquete de tarjetas de crédito, beneficios y acceso a otro tipo de créditos  en el Banco de la Provincia de Buenos Aires de esta ciudad, y que fueron denegadas ya que en el sistema de referencias comerciales se le informó que era deudor de la casa de venta de electrodomésticos Naldo Lombardi S.A. inscripto en fecha 22/05/2024.-</w:t>
      </w:r>
    </w:p>
    <w:p>
      <w:pPr>
        <w:pStyle w:val="[Normal]"/>
        <w:spacing w:line="360" w:lineRule="auto"/>
        <w:ind w:firstLine="1134"/>
        <w:jc w:val="both"/>
        <w:rPr>
          <w:lang w:val="es-AR" w:eastAsia="es-AR" w:bidi="es-AR"/>
        </w:rPr>
      </w:pPr>
      <w:r>
        <w:rPr>
          <w:lang w:val="es-AR" w:eastAsia="es-AR" w:bidi="es-AR"/>
        </w:rPr>
        <w:t xml:space="preserve">El aquo recibió el reclamo en base a la prueba producida donde se constató efectivamente la responsabilidad del proveedor Naldo Lombardi quien informa a bases crediticias (Nosis)  la calidad del deudor en el sistema comercial en forma errónea y por deudas ya prescriptas, con lo cual se  admitió la pretensión deducida.-</w:t>
      </w:r>
    </w:p>
    <w:p>
      <w:pPr>
        <w:pStyle w:val="[Normal]"/>
        <w:spacing w:line="360" w:lineRule="auto"/>
        <w:ind w:firstLine="1134"/>
        <w:jc w:val="both"/>
        <w:rPr>
          <w:lang w:val="es-AR" w:eastAsia="es-AR" w:bidi="es-AR"/>
        </w:rPr>
      </w:pPr>
      <w:r>
        <w:rPr>
          <w:lang w:val="es-AR" w:eastAsia="es-AR" w:bidi="es-AR"/>
        </w:rPr>
        <w:t xml:space="preserve">No ha sido cuestionada la responsabilidad sino que el quejoso se duele de la justipreciación del daño patrimonial en tanto el operador de grado  consideró que no se había acreditado la extensión pecuniaria de la intervención quirúrgica de la esposa del actor a la que supuestamente estaba destinado el crédito y que a decir de éste, la conducta de la demandada impidió satisfacer en término.- Asi como el daño moral por insuficiente y el importe del daño punitivo.-</w:t>
      </w:r>
    </w:p>
    <w:p>
      <w:pPr>
        <w:pStyle w:val="[Normal]"/>
        <w:spacing w:line="360" w:lineRule="auto"/>
        <w:ind w:firstLine="1134"/>
        <w:jc w:val="both"/>
        <w:rPr>
          <w:lang w:val="es-AR" w:eastAsia="es-AR" w:bidi="es-AR"/>
        </w:rPr>
      </w:pPr>
      <w:r>
        <w:rPr>
          <w:lang w:val="es-AR" w:eastAsia="es-AR" w:bidi="es-AR"/>
        </w:rPr>
        <w:t xml:space="preserve">Para revisar este punto de crisis voy a detenerme necesariamente en dos aspectos: a) la prueba y b) las consecuencias mediatas en la extensión del resarcimiento.-</w:t>
      </w:r>
    </w:p>
    <w:p>
      <w:pPr>
        <w:pStyle w:val="[Normal]"/>
        <w:spacing w:line="360" w:lineRule="auto"/>
        <w:ind w:firstLine="1134"/>
        <w:jc w:val="both"/>
        <w:rPr>
          <w:lang w:val="es-AR" w:eastAsia="es-AR" w:bidi="es-AR"/>
        </w:rPr>
      </w:pPr>
      <w:r>
        <w:rPr>
          <w:lang w:val="es-AR" w:eastAsia="es-AR" w:bidi="es-AR"/>
        </w:rPr>
        <w:t xml:space="preserve">Con relación al primer punto sabido es que "Cada parte soporta la carga de la prueba sobre la existencia de los presupuestos de hecho de las normas sin cuya aplicación no puede tener éxito su pretensión, es decir, que cada parte debe afirmar y probar los presupuestos de las normas que le son favorables, prescindiéndose del carácter de actor o demandado que asumen las partes en el proceso, así como de la naturaleza del hecho, pues la norma jurídica favorable a una de las partes contempla presupuestos fácticos que tiene que acreditar quién se beneficia con su aplicación. De tal manera, el tema de la carga de la prueba se limita a una cuestión de "aplicación del derecho", es decir, que una norma únicamente puede aplicarse cuando la tipicidad hipotética abstractamente formulada y hecho su presupuesto por la ley se ha convertido en realidad concreta; y debe omitirse su aplicación cuando en el caso de controversia el magistrado no ha logrado plena convicción. C0203 LP 119262 RSD-24-16 S 03/03/2016 Juez LARUMBE (SD) Carátula: Casanueva, Justina c/ Echarren, Celestino y otro/a s/ Resolución de Contratos civiles y comerciales Magistrados Votantes: Larumbe-Soto Tribunal Origen: JC0400LP</w:t>
      </w:r>
    </w:p>
    <w:p>
      <w:pPr>
        <w:pStyle w:val="[Normal]"/>
        <w:spacing w:line="360" w:lineRule="auto"/>
        <w:ind w:firstLine="1134"/>
        <w:jc w:val="both"/>
        <w:rPr>
          <w:lang w:val="es-AR" w:eastAsia="es-AR" w:bidi="es-AR"/>
        </w:rPr>
      </w:pPr>
      <w:r>
        <w:rPr>
          <w:lang w:val="es-AR" w:eastAsia="es-AR" w:bidi="es-AR"/>
        </w:rPr>
        <w:t xml:space="preserve">La carga de la prueba hace al imperativo del propio interés, ya que no es un deber jurídico u obligación -su incumplimiento no constituye un obrar ilícito o antijurídico que permite aplicar el poder punitivo-, sino una potestad que tiene el interesado cuya inactividad, insuficiencia y/o imposibilidad le conllevará una consecuencia negativa dentro del proceso para la parte que tenga esa carga o peso, en otras palabras, traerá aparejada una interpretación desfavorable respecto de los hechos esgrimidos y no probados. CC0201 LP 138836 80 S 13/03/2025 Juez SOSA AUBONE (SD) Tribunal Origen: JC2300LP.- (arts. 163, 164, 375 y 384, C.P.C.C.; 53, ley 24.240; 1725 y 1735, C.C.C.N.).</w:t>
      </w:r>
    </w:p>
    <w:p>
      <w:pPr>
        <w:pStyle w:val="[Normal]"/>
        <w:spacing w:line="360" w:lineRule="auto"/>
        <w:ind w:firstLine="1134"/>
        <w:jc w:val="both"/>
        <w:rPr>
          <w:lang w:val="es-AR" w:eastAsia="es-AR" w:bidi="es-AR"/>
        </w:rPr>
      </w:pPr>
      <w:r>
        <w:rPr>
          <w:lang w:val="es-AR" w:eastAsia="es-AR" w:bidi="es-AR"/>
        </w:rPr>
        <w:t xml:space="preserve">No se trata sólo de una insuficiencia probatoria como lo señala el juez de primera instancia en allegar todo el respaldo documental tendiente a probar la circunstancia invocada, sino que la cuestión es más compleja y se relaciona con la relación de causalidad en la extensión de los daños.-. </w:t>
      </w:r>
    </w:p>
    <w:p>
      <w:pPr>
        <w:pStyle w:val="[Normal]"/>
        <w:spacing w:line="360" w:lineRule="auto"/>
        <w:ind w:firstLine="1134"/>
        <w:jc w:val="both"/>
        <w:rPr>
          <w:lang w:val="es-AR" w:eastAsia="es-AR" w:bidi="es-AR"/>
        </w:rPr>
      </w:pPr>
      <w:r>
        <w:rPr>
          <w:lang w:val="es-AR" w:eastAsia="es-AR" w:bidi="es-AR"/>
        </w:rPr>
        <w:t xml:space="preserve">Para establecer la causa de un daño es necesario hacer un juicio de probabilidad determinando que aquél se halla en conexión causal adecuada con el acto ilícito, o sea, que el efecto dañoso es el que debía resultar normalmente de la acción u omisión antijurídica, según el orden natural y ordinario de las cosas (art. 901, C.C.). El vínculo de causalidad exige una relación efectiva y adecuada (normal), entre una acción u omisión y el daño: éste debe haber sido causado u ocasionado por aquélla (arts. 1068, 1074, 1109, 1111, 1113, 1114 del Código Civil).CCI Art. 1074 | CCI Art. 1113 | CCI Art. 1109 | CCI Art. 1114 | CCI Art. 1068 | CCI Art. 1111 | SCBA LP C 118399 S 17/05/2021 Juez PETTIGIANI (MI) Tribunal Origen: CC0103LP </w:t>
      </w:r>
    </w:p>
    <w:p>
      <w:pPr>
        <w:pStyle w:val="[Normal]"/>
        <w:spacing w:line="360" w:lineRule="auto"/>
        <w:ind w:firstLine="1134"/>
        <w:jc w:val="both"/>
        <w:rPr>
          <w:lang w:val="es-AR" w:eastAsia="es-AR" w:bidi="es-AR"/>
        </w:rPr>
      </w:pPr>
      <w:r>
        <w:rPr>
          <w:lang w:val="es-AR" w:eastAsia="es-AR" w:bidi="es-AR"/>
        </w:rPr>
        <w:t xml:space="preserve">En el ámbito de la responsabilidad contractual, el resarcimiento de los daños e intereses sólo comprenderá los que fueren consecuencia inmediata y necesaria de la falta de cumplimiento de la obligación, a excepción de haber tenido lugar la inejecución maliciosa de ésta, en cuyo caso el daño abarcará también las consecuencias mediatas que se produzcan (arts. 520, 521, 901 del Código Civil). CCI Art. 520,521,90)</w:t>
      </w:r>
    </w:p>
    <w:p>
      <w:pPr>
        <w:pStyle w:val="[Normal]"/>
        <w:spacing w:line="360" w:lineRule="auto"/>
        <w:ind w:firstLine="1134"/>
        <w:jc w:val="both"/>
        <w:rPr>
          <w:lang w:val="es-AR" w:eastAsia="es-AR" w:bidi="es-AR"/>
        </w:rPr>
      </w:pPr>
      <w:r>
        <w:rPr>
          <w:lang w:val="es-AR" w:eastAsia="es-AR" w:bidi="es-AR"/>
        </w:rPr>
        <w:t xml:space="preserve">Los supuestos de responsabilidad contractual deben ser analizados a la luz de su normativa específica, que contempla el deber de responder por las consecuencias inmediatas del incumplimiento, y no por las derivaciones que se presentan como un efecto indirecto del cumplimiento irregular del contrato. Esto último es el resultante de la conexión de un hecho con un acontecimiento distinto, que la preceptiva de nuestra legislación civil ha caracterizado como consecuencia mediata. En el ámbito de la responsabilidad contractual, el resarcimiento de los daños e intereses sólo comprenderá los que fueren consecuencia inmediata y necesaria de la falta de cumplimiento de la obligación, a excepción de haber tenido lugar la inejecución maliciosa de ésta, en cuyo caso el daño abarcará también las consecuencias mediatas que se produzcan. CCI Art. 901 | CCI Art. 520 | CCI Art. 521 |CC0102 MP 145424 RSD-219-10 S 12/08/2010 Magistrados Votantes: Monterisi-Valle</w:t>
      </w:r>
    </w:p>
    <w:p>
      <w:pPr>
        <w:pStyle w:val="[Normal]"/>
        <w:spacing w:line="360" w:lineRule="auto"/>
        <w:ind w:firstLine="1134"/>
        <w:jc w:val="both"/>
        <w:rPr>
          <w:lang w:val="es-AR" w:eastAsia="es-AR" w:bidi="es-AR"/>
        </w:rPr>
      </w:pPr>
      <w:r>
        <w:rPr>
          <w:lang w:val="es-AR" w:eastAsia="es-AR" w:bidi="es-AR"/>
        </w:rPr>
        <w:t xml:space="preserve">Para las obligaciones contractuales el art. 520 del Cód. Civ. regula que en el resarcimiento de los daños e intereses sólo se comprenderan los que fueren consecuencia inmediata y necesaria de la falta de cumplimiento de la obligación y si la inejecución de la obligación fuese maliciosa, los daños e intereses se comprenderán también las consecuencias mediatas (art. 521 del Cód. Civ).-. CCI Art. 521 | CCI Art. 520 |C0001 LM 481 RSD-16- S 27/05/2004 Juez TARABORRELLI (SD)</w:t>
      </w:r>
    </w:p>
    <w:p>
      <w:pPr>
        <w:pStyle w:val="[Normal]"/>
        <w:spacing w:line="360" w:lineRule="auto"/>
        <w:ind w:firstLine="1134"/>
        <w:jc w:val="both"/>
        <w:rPr>
          <w:lang w:val="es-AR" w:eastAsia="es-AR" w:bidi="es-AR"/>
        </w:rPr>
      </w:pPr>
      <w:r>
        <w:rPr>
          <w:lang w:val="es-AR" w:eastAsia="es-AR" w:bidi="es-AR"/>
        </w:rPr>
        <w:t xml:space="preserve">Los supuestos de responsabilidad contractual deben ser analizados a la luz de su normativa específica, que contempla el deber de responder por las consecuencias inmediatas del incumplimiento, y no por las derivaciones que se presentan como un efecto indirecto del cumplimiento irregular del contrato. Esto último es el resultante de la conexión de un hecho con un acontecimiento distinto, que la preceptiva de nuestra legislación civil ha caracterizado como consecuencia mediata. En el ámbito de la responsabilidad contractual, el resarcimiento de los daños e intereses sólo comprenderá los que fueren consecuencia inmediata y necesaria de la falta de cumplimiento de la obligación, a excepción de haber tenido lugar la inejecución maliciosa de ésta, en cuyo caso el daño abarcará también las consecuencias mediatas que se produzcan (arts. 520, 521, 901 del Código Civil.CCI Art. 901 | CCI Art. 520 | CCI Art. 521 | CC0202 LP 97472 RSD-47-2 S 02/04/2002 Juez SUAREZ (SD)</w:t>
      </w:r>
    </w:p>
    <w:p>
      <w:pPr>
        <w:pStyle w:val="[Normal]"/>
        <w:spacing w:line="360" w:lineRule="auto"/>
        <w:ind w:firstLine="1134"/>
        <w:jc w:val="both"/>
        <w:rPr>
          <w:lang w:val="es-AR" w:eastAsia="es-AR" w:bidi="es-AR"/>
        </w:rPr>
      </w:pPr>
      <w:r>
        <w:rPr>
          <w:lang w:val="es-AR" w:eastAsia="es-AR" w:bidi="es-AR"/>
        </w:rPr>
        <w:t xml:space="preserve">Ahora bien, en la esfera extracontractual, si se pensara la conducta de la empresa demandada como una acción antijurídica no derivada de un contrato, tampoco sería posible la pretensión de resarcimiento sobre las consecuencias no probadas.- </w:t>
      </w:r>
    </w:p>
    <w:p>
      <w:pPr>
        <w:pStyle w:val="[Normal]"/>
        <w:spacing w:line="360" w:lineRule="auto"/>
        <w:ind w:firstLine="1134"/>
        <w:jc w:val="both"/>
        <w:rPr>
          <w:lang w:val="es-AR" w:eastAsia="es-AR" w:bidi="es-AR"/>
        </w:rPr>
      </w:pPr>
      <w:r>
        <w:rPr>
          <w:lang w:val="es-AR" w:eastAsia="es-AR" w:bidi="es-AR"/>
        </w:rPr>
        <w:t xml:space="preserve">Es que "La extensión de la responsabilidad extracontractual no puede ir más allá de las consecuencias inmediatas y mediatas del hecho ilícito (arts. 901; 902; 903; 904; 1067; 1068; 1077; 1078; 1083 del Código Civil), no resultando imputables al autor del hecho las consecuencias casuales, tal -en el caso- la carencia de dinero para la reparación del automotor, salvo que se hubiere tenido en mira al ejecutarlo, lo que conllevaría la intención de dañar (arts. 905 y 906 del Código Civil, 375 del C.P.C.C.)" .CCI Art. 902 | CCI Art. 906 | CCI Art. 1077 | CCI Art. 1078 | CCI Art. 904 | CPCB Art. 375 Ver Norma | CCI Art. 905 | CCI Art. 901 | CCI Art. 1067 | CCI Art. 1068 | CCI Art. 1083 | CCI Art. 903 | CC0203 LP 110920 RSD-78-9 S 04/06/2009 Juez MENDIVIL (SD).-</w:t>
      </w:r>
    </w:p>
    <w:p>
      <w:pPr>
        <w:pStyle w:val="[Normal]"/>
        <w:spacing w:line="360" w:lineRule="auto"/>
        <w:ind w:firstLine="1134"/>
        <w:jc w:val="both"/>
        <w:rPr>
          <w:lang w:val="es-AR" w:eastAsia="es-AR" w:bidi="es-AR"/>
        </w:rPr>
      </w:pPr>
      <w:r>
        <w:rPr>
          <w:lang w:val="es-AR" w:eastAsia="es-AR" w:bidi="es-AR"/>
        </w:rPr>
        <w:t xml:space="preserve">Desde este análisis y adunando los fundamentos aquí dados coincido con la justipreciación dada por el operador de grado, en tanto evaluara que la inclusion indebida en la base de datos alcanza a su criterio a un daño patrimonial resarcible por la suma de $ 1.400.000 lo que desde aquí se confirma, rechazando a ampliación pretendida por el quejoso en base a las consecuencias mediatas y causales introducidas en su queja.-</w:t>
      </w:r>
    </w:p>
    <w:p>
      <w:pPr>
        <w:pStyle w:val="[Normal]"/>
        <w:spacing w:line="360" w:lineRule="auto"/>
        <w:ind w:firstLine="1134"/>
        <w:jc w:val="both"/>
        <w:rPr>
          <w:lang w:val="es-AR" w:eastAsia="es-AR" w:bidi="es-AR"/>
        </w:rPr>
      </w:pPr>
      <w:r>
        <w:rPr>
          <w:lang w:val="es-AR" w:eastAsia="es-AR" w:bidi="es-AR"/>
        </w:rPr>
        <w:t xml:space="preserve">Con relación al reproche sobre la cuantificación dada al daño moral y al daño punitivo, voy a detenerme.-</w:t>
      </w:r>
    </w:p>
    <w:p>
      <w:pPr>
        <w:pStyle w:val="[Normal]"/>
        <w:spacing w:line="360" w:lineRule="auto"/>
        <w:ind w:firstLine="1134"/>
        <w:jc w:val="both"/>
        <w:rPr>
          <w:lang w:val="es-AR" w:eastAsia="es-AR" w:bidi="es-AR"/>
        </w:rPr>
      </w:pPr>
      <w:r>
        <w:rPr>
          <w:lang w:val="es-AR" w:eastAsia="es-AR" w:bidi="es-AR"/>
        </w:rPr>
        <w:t xml:space="preserve">En tanto se encuentra fuera de discusión el encuadramiento de la relación jurídica dentro del estatuto del consumidor en que la actora reclama la indemnización de los daños sufridos a causa de la indebida inclusión dentro del listado de morosos del sistema erróneamente informado por la empresa demandada ( arts. 1 a 3, ley 24.240; 354 inc. 1, CPCC), es procedente la indemnización del daño punitivo ( artículo 52 bis de la ley 24.240, conforme ley 26.361).LEY 24250 Art. 52 bis | LEY 26361 |</w:t>
      </w:r>
    </w:p>
    <w:p>
      <w:pPr>
        <w:pStyle w:val="[Normal]"/>
        <w:spacing w:line="360" w:lineRule="auto"/>
        <w:ind w:firstLine="1134"/>
        <w:jc w:val="both"/>
        <w:rPr>
          <w:lang w:val="es-AR" w:eastAsia="es-AR" w:bidi="es-AR"/>
        </w:rPr>
      </w:pPr>
      <w:r>
        <w:rPr>
          <w:lang w:val="es-AR" w:eastAsia="es-AR" w:bidi="es-AR"/>
        </w:rPr>
        <w:t xml:space="preserve">En nuestro caso no se ha puesto en crisis la concreta aplicación de la normativa a la situación de autos, sino solamente la extensión pecuniaria otorgada en la sentencia, y en tal sentido entiendo le asiste razón al apelante.-</w:t>
      </w:r>
    </w:p>
    <w:p>
      <w:pPr>
        <w:pStyle w:val="[Normal]"/>
        <w:spacing w:line="360" w:lineRule="auto"/>
        <w:ind w:firstLine="1134"/>
        <w:jc w:val="both"/>
        <w:rPr>
          <w:lang w:val="es-AR" w:eastAsia="es-AR" w:bidi="es-AR"/>
        </w:rPr>
      </w:pPr>
      <w:r>
        <w:rPr>
          <w:lang w:val="es-AR" w:eastAsia="es-AR" w:bidi="es-AR"/>
        </w:rPr>
        <w:t xml:space="preserve">Es que la empresa demandada reconocida en el ámbito comercial desde hace varios años  debió ser más diligente en solucionar el conflicto al que por su accionar hizo que la relación, la que debía llevarse en buenos términos y con debida diligencia, sino que por el contrario realizando los actos reprochables que enunciara el juez de grado, incluso a llevar un proceso adelante, negando todo lo que se expusiera en demanda, pero no aportando de su parte prueba que pueda rebatir los hechos, pese a que se encontraba en mejor posición precisamente por ser su calidad profesional esperable de un comercio de renombre.-</w:t>
      </w:r>
    </w:p>
    <w:p>
      <w:pPr>
        <w:pStyle w:val="[Normal]"/>
        <w:spacing w:line="360" w:lineRule="auto"/>
        <w:ind w:firstLine="1134"/>
        <w:jc w:val="both"/>
        <w:rPr>
          <w:lang w:val="es-AR" w:eastAsia="es-AR" w:bidi="es-AR"/>
        </w:rPr>
      </w:pPr>
      <w:r>
        <w:rPr>
          <w:lang w:val="es-AR" w:eastAsia="es-AR" w:bidi="es-AR"/>
        </w:rPr>
        <w:t xml:space="preserve">Cabe tener en cuenta que: "El instituto del daño punitivo abastece tres funciones: I) sancionar al causante de un daño inadmisible; II) hacer desaparecer los beneficios injustamente obtenidos provenientes de la actividad dañosa, III) prevenir o evitar el acaecimiento de hechos lesivos similares al que mereciera la punición (CC0203 LP 124158 RSD-229-18 S 25/10/2018 - Carátula: Chacon Damián Esteban c/ Plan Ovalo S.A. de ahorro para fines determinados y otros s/ Daños y perj. incump. contractual (exc. estado) - sumario Juba:B356893). Al respecto, en las Jornadas Nacionales de Derecho Civil realizadas en la ciudad de Santa Fe en septiembre de este año, la Comisión 4 sobre "Daño Punitivo" concluyó por despacho unánime que: "Los  daños  punitivos  tienen  finalidad  preventiva, disuasoria y sancionatoria".	</w:t>
      </w:r>
    </w:p>
    <w:p>
      <w:pPr>
        <w:pStyle w:val="[Normal]"/>
        <w:spacing w:line="360" w:lineRule="auto"/>
        <w:ind w:firstLine="1134"/>
        <w:jc w:val="both"/>
        <w:rPr>
          <w:lang w:val="es-AR" w:eastAsia="es-AR" w:bidi="es-AR"/>
        </w:rPr>
      </w:pPr>
      <w:r>
        <w:rPr>
          <w:lang w:val="es-AR" w:eastAsia="es-AR" w:bidi="es-AR"/>
        </w:rPr>
        <w:t xml:space="preserve">La procedencia del art. 52 bis de la ley 24240 tiene su respaldo en la garantía protectoria establecida por el art. 42 de la Constitución Nacional en cuanto dispone que “Los consumidores y usuarios de bienes y servicios tienen derecho, en la relación de consumo a la protección de su salud, seguridad, e intereses económicos; a una información adecuada y veraz; a la libertad de elección y de trato equitativo y digno”.</w:t>
      </w:r>
    </w:p>
    <w:p>
      <w:pPr>
        <w:pStyle w:val="[Normal]"/>
        <w:spacing w:line="360" w:lineRule="auto"/>
        <w:ind w:firstLine="1134"/>
        <w:jc w:val="both"/>
        <w:rPr>
          <w:lang w:val="es-AR" w:eastAsia="es-AR" w:bidi="es-AR"/>
        </w:rPr>
      </w:pPr>
      <w:r>
        <w:rPr>
          <w:lang w:val="es-AR" w:eastAsia="es-AR" w:bidi="es-AR"/>
        </w:rPr>
        <w:t xml:space="preserve">En este contexto, reitero que la procedencia del daño punitivo reclamada luce ajustada a derecho, mas no la extensión pecuniaria otorgada, por lo que y acreditada la conducta de la entidad (que fuera perfectamente reseñada en la sentencia primera a lo que me remito en orden a la brevedad) y las circunstancias señaladas en el presente, cabe hacer lugar al recurso articulado fijando la suma de PESOS UN MILLON  por este concepto (arts. 165, 384, 375 y ctes del CPCC).</w:t>
      </w:r>
    </w:p>
    <w:p>
      <w:pPr>
        <w:pStyle w:val="[Normal]"/>
        <w:spacing w:line="360" w:lineRule="auto"/>
        <w:ind w:firstLine="1134"/>
        <w:jc w:val="both"/>
        <w:rPr>
          <w:lang w:val="es-AR" w:eastAsia="es-AR" w:bidi="es-AR"/>
        </w:rPr>
      </w:pPr>
      <w:r>
        <w:rPr>
          <w:lang w:val="es-AR" w:eastAsia="es-AR" w:bidi="es-AR"/>
        </w:rPr>
        <w:t xml:space="preserve">Tambien voy a atender la crítica  que viene apontocada sobre el importe del daño moral, teniendo en cuenta que éste se dirige a reparar la angustia y padecimiento en la esfera espiritual del sujeto afectado, siendo de difícil medición, pero teniendo en cuenta que el actor tuvo que transitar por el intrincado marco de un proceso judicial y la incertidumbre que ello acarrea, se fija desde aquí el importe de PESOS UN MILLON QUINIENTOS por este rubro (art. 165 del CPCC y su doctrina).-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elevando el importe de DAÑO MORAL y fijándolo desde aquí en la suma de PESOS UN MILLON QUINIENTOS MIL ($ 1.500.000) y el DAÑO PUNITIVO en la suma de PESOS UN MILLON ($ 1.000.000), confirmando en todo lo demás la sentencia apelada.-</w:t>
      </w:r>
    </w:p>
    <w:p>
      <w:pPr>
        <w:pStyle w:val="[Normal]"/>
        <w:spacing w:line="360" w:lineRule="auto"/>
        <w:ind w:firstLine="1134"/>
        <w:jc w:val="both"/>
        <w:rPr>
          <w:lang w:val="es-AR" w:eastAsia="es-AR" w:bidi="es-AR"/>
        </w:rPr>
      </w:pPr>
      <w:r>
        <w:rPr>
          <w:lang w:val="es-AR" w:eastAsia="es-AR" w:bidi="es-AR"/>
        </w:rPr>
        <w:t xml:space="preserve">Las costas de Alzada, a la parte demandada.-</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medie respectiva liquidación de intereses y gastos (art. 51 ley 14.967).-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 apelación deducido por la parte actora, elevando el importe de daño moral y fijándolo desde aquí en la suma de PESOS UN MILLON QUINIENTOS MIL ($ 1.500.000) y el DAÑO PUNITIVO en la suma de PESOS UN MILLON ($ 1.000.000), confirmando en todo lo demás la sentencia apelada.-</w:t>
      </w:r>
    </w:p>
    <w:p>
      <w:pPr>
        <w:pStyle w:val="[Normal]"/>
        <w:spacing w:line="360" w:lineRule="auto"/>
        <w:ind w:firstLine="1134"/>
        <w:jc w:val="both"/>
        <w:rPr>
          <w:lang w:val="es-AR" w:eastAsia="es-AR" w:bidi="es-AR"/>
        </w:rPr>
      </w:pPr>
      <w:r>
        <w:rPr>
          <w:lang w:val="es-AR" w:eastAsia="es-AR" w:bidi="es-AR"/>
        </w:rPr>
        <w:t xml:space="preserve">Las costas de Alzada, a la parte demandada.-</w:t>
      </w:r>
    </w:p>
    <w:p>
      <w:pPr>
        <w:pStyle w:val="[Normal]"/>
        <w:spacing w:line="360" w:lineRule="auto"/>
        <w:ind w:firstLine="1134"/>
        <w:jc w:val="both"/>
        <w:rPr>
          <w:lang w:val="es-AR" w:eastAsia="es-AR" w:bidi="es-AR"/>
        </w:rPr>
      </w:pPr>
      <w:r>
        <w:rPr>
          <w:lang w:val="es-AR" w:eastAsia="es-AR" w:bidi="es-AR"/>
        </w:rPr>
        <w:t xml:space="preserve">Diferir la regulación de honorarios de letrados y peritos hasta tanto medie respectiva liquidación de intereses y gastos (art. 51 ley 14.967).-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20420540397@NOTIFICACIONES.SCBA.GOV.AR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27231328373@NOTIFICACIONES.SCBA.GOV.AR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05/02/2026 10:35:26 -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05/02/2026 11:28:39 -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05/02/2026 11:57:04 -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‰82")è&amp;iÀ\ÂŠ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241802090006739560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05/02/2026 11:57:30 hs. bajo el número RS-1-2026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