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5844-25</w:t>
      </w:r>
      <w:r>
        <w:rPr>
          <w:lang w:val="es-AR" w:eastAsia="es-AR" w:bidi="es-AR"/>
        </w:rPr>
        <w:t xml:space="preserve"> caratulada </w:t>
      </w:r>
      <w:r>
        <w:rPr>
          <w:b/>
          <w:lang w:val="es-AR" w:eastAsia="es-AR" w:bidi="es-AR"/>
        </w:rPr>
        <w:t xml:space="preserve">"</w:t>
      </w:r>
      <w:r>
        <w:rPr>
          <w:b/>
          <w:color w:val="000000"/>
          <w:lang w:val="es-AR" w:eastAsia="es-AR" w:bidi="es-AR"/>
        </w:rPr>
        <w:t xml:space="preserve">GOROSITO LAUTARO NICOLAS Y OTROS C/ FERREIRA JOAQUIN Y OTRO/A S/ DAÑOS Y PERJ.AUTOM. C/LES. O MUERTE (EXC.ESTADO)</w:t>
      </w:r>
      <w:r>
        <w:rPr>
          <w:b/>
          <w:lang w:val="es-AR" w:eastAsia="es-AR" w:bidi="es-AR"/>
        </w:rPr>
        <w:t xml:space="preserve">"</w:t>
      </w:r>
      <w:r>
        <w:rPr>
          <w:lang w:val="es-AR" w:eastAsia="es-AR" w:bidi="es-AR"/>
        </w:rPr>
        <w:t xml:space="preserve">, Expte. </w:t>
      </w:r>
      <w:r>
        <w:rPr>
          <w:color w:val="000000"/>
          <w:lang w:val="es-AR" w:eastAsia="es-AR" w:bidi="es-AR"/>
        </w:rPr>
        <w:t xml:space="preserve">77.324</w:t>
      </w:r>
      <w:r>
        <w:rPr>
          <w:color w:val="000000"/>
          <w:lang w:val="es-AR" w:eastAsia="es-AR" w:bidi="es-AR"/>
        </w:rPr>
        <w:t xml:space="preserve"> </w:t>
      </w:r>
      <w:r>
        <w:rPr>
          <w:lang w:val="es-AR" w:eastAsia="es-AR" w:bidi="es-AR"/>
        </w:rPr>
        <w:t xml:space="preserve">del Juzgado en lo Civil y Comercial n° 1, se practicó el sorteo de ley que determinó que la votación debía efectuarse en el siguiente orden: Graciela Scaraffia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lang w:val="es-AR" w:eastAsia="es-AR" w:bidi="es-AR"/>
        </w:rPr>
      </w:pPr>
      <w:r>
        <w:rPr>
          <w:lang w:val="es-AR" w:eastAsia="es-AR" w:bidi="es-AR"/>
        </w:rPr>
        <w:t xml:space="preserve">El Sr. Juez de la anterior instancia rechazó la demanda articulada por la parte actora, Sr. </w:t>
      </w:r>
      <w:r>
        <w:rPr>
          <w:rStyle w:val="STRONG"/>
          <w:b w:val="off"/>
          <w:lang w:val="es-AR" w:eastAsia="es-AR" w:bidi="es-AR"/>
        </w:rPr>
        <w:t xml:space="preserve">Lautaro Nicolás Gorosito,</w:t>
      </w:r>
      <w:r>
        <w:rPr>
          <w:lang w:val="es-AR" w:eastAsia="es-AR" w:bidi="es-AR"/>
        </w:rPr>
        <w:t xml:space="preserve"> Sra. </w:t>
      </w:r>
      <w:r>
        <w:rPr>
          <w:rStyle w:val="STRONG"/>
          <w:b w:val="off"/>
          <w:lang w:val="es-AR" w:eastAsia="es-AR" w:bidi="es-AR"/>
        </w:rPr>
        <w:t xml:space="preserve">Caterin Eliezar Hernandez</w:t>
      </w:r>
      <w:r>
        <w:rPr>
          <w:lang w:val="es-AR" w:eastAsia="es-AR" w:bidi="es-AR"/>
        </w:rPr>
        <w:t xml:space="preserve"> y Sra. </w:t>
      </w:r>
      <w:r>
        <w:rPr>
          <w:rStyle w:val="STRONG"/>
          <w:b w:val="off"/>
          <w:lang w:val="es-AR" w:eastAsia="es-AR" w:bidi="es-AR"/>
        </w:rPr>
        <w:t xml:space="preserve">Nicole Milena</w:t>
      </w:r>
      <w:r>
        <w:rPr>
          <w:lang w:val="es-AR" w:eastAsia="es-AR" w:bidi="es-AR"/>
        </w:rPr>
        <w:t xml:space="preserve"> </w:t>
      </w:r>
      <w:r>
        <w:rPr>
          <w:rStyle w:val="STRONG"/>
          <w:b w:val="off"/>
          <w:lang w:val="es-AR" w:eastAsia="es-AR" w:bidi="es-AR"/>
        </w:rPr>
        <w:t xml:space="preserve">Tevez</w:t>
      </w:r>
      <w:r>
        <w:rPr>
          <w:lang w:val="es-AR" w:eastAsia="es-AR" w:bidi="es-AR"/>
        </w:rPr>
        <w:t xml:space="preserve">,  con costas a su cargo por resultar vencidos (art. 68 C.P.C.). Difirió la regulación de honorarios de los profesionales intervinientes, hasta que medie firme la respectiva liquidación de intereses y gastos (art. 51 ley 14.967).</w:t>
      </w:r>
    </w:p>
    <w:p>
      <w:pPr>
        <w:pStyle w:val="[Normal]"/>
        <w:spacing w:line="360" w:lineRule="auto"/>
        <w:ind w:firstLine="1134"/>
        <w:jc w:val="both"/>
        <w:rPr>
          <w:lang w:val="es-AR" w:eastAsia="es-AR" w:bidi="es-AR"/>
        </w:rPr>
      </w:pPr>
      <w:r>
        <w:rPr>
          <w:lang w:val="es-AR" w:eastAsia="es-AR" w:bidi="es-AR"/>
        </w:rPr>
        <w:t xml:space="preserve">Tal decisorio fue objeto del recurso de apelación interpuesto por la parte actora (12-9-2025), concedido el 17-9-2025 libremente y en efecto suspensivo. Elevados los autos a esta Alzada con fecha 30-9-2025 se ordeno expresar agravios a la parte actora, quien los fundó el 3-10-2025 y del mismo el 9-10-2025 traslado a la demandada y citada en garantía, quien el 20-10-2025 lo evacuó. El 21-10-2025 llamamiento de autos,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Se duele el quejoso  contra la sentencia de grado en cuanto el operador desestimara su pretensión indemnizatoria, achacando sucintamente una errónea apreciación de la prueba y aplicación del derecho, señalando una falta de fundamentación suficiente y valoración parcial de las conductas, achaca como omitido el análisis de la conducción temeraria del demandado, el impacto violento y la fuga que tacha de cobarde y deliberada, evadiendo la posibilidad de controlar la aptitud sicofísica en el momento del hecho.- Dice que hay una errónea valoración al citar la prueba pericial postulando que el impacto se produjo cuando la moto había superado la línea media del cruce y que el vehículo fue el que embistió, señalando que llevaba una  velocidad  mayor que  la moto.-Pide la revocación con costas.-</w:t>
      </w:r>
    </w:p>
    <w:p>
      <w:pPr>
        <w:pStyle w:val="[Normal]"/>
        <w:spacing w:line="360" w:lineRule="auto"/>
        <w:ind w:firstLine="1134"/>
        <w:jc w:val="both"/>
        <w:rPr>
          <w:lang w:val="es-AR" w:eastAsia="es-AR" w:bidi="es-AR"/>
        </w:rPr>
      </w:pPr>
      <w:r>
        <w:rPr>
          <w:lang w:val="es-AR" w:eastAsia="es-AR" w:bidi="es-AR"/>
        </w:rPr>
        <w:t xml:space="preserve">A su turno la demandada rebate los argumentos de la contraria peticionando el rechazo del recurso.-</w:t>
      </w:r>
    </w:p>
    <w:p>
      <w:pPr>
        <w:pStyle w:val="[Normal]"/>
        <w:spacing w:line="360" w:lineRule="auto"/>
        <w:ind w:firstLine="1134"/>
        <w:jc w:val="both"/>
        <w:rPr>
          <w:lang w:val="es-AR" w:eastAsia="es-AR" w:bidi="es-AR"/>
        </w:rPr>
      </w:pPr>
      <w:r>
        <w:rPr>
          <w:lang w:val="es-AR" w:eastAsia="es-AR" w:bidi="es-AR"/>
        </w:rPr>
        <w:t xml:space="preserve">Entrando a resolver la plataforma fáctica da cuenta de un siniestro ocurrido el día 26 de noviembre de 2019, alrededor de las 23.15 horas, entre el Sr Gorosito al comando de una motocicleta Marca Guerrero Trip, Dominio 619JFV que transitaba por calle Castelli en sentido Este-Oeste acarreando en la misma moto a la Sra Tevez y la Sra Hernandez .-Por otro lado el Sr Ferreira circulaba con su automotor marca Fiat Punto Patente KFX-904 por calle San Nicolás en sentido Norte-Sur, y en la intersección de ambas arterias dichos rodados protagonizaron un accidente vial colisionando entre si.- </w:t>
      </w:r>
    </w:p>
    <w:p>
      <w:pPr>
        <w:pStyle w:val="[Normal]"/>
        <w:spacing w:line="360" w:lineRule="auto"/>
        <w:ind w:firstLine="1134"/>
        <w:jc w:val="both"/>
        <w:rPr>
          <w:lang w:val="es-AR" w:eastAsia="es-AR" w:bidi="es-AR"/>
        </w:rPr>
      </w:pPr>
      <w:r>
        <w:rPr>
          <w:lang w:val="es-AR" w:eastAsia="es-AR" w:bidi="es-AR"/>
        </w:rPr>
        <w:t xml:space="preserve">El doliente no ha logrado neutralizar la bien fundada sentencia del juez de grado que atribuye plena responsabilidad al actor en el evento dañoso, concluyendo que fue su propia conducta la causa del accidente.-</w:t>
      </w:r>
    </w:p>
    <w:p>
      <w:pPr>
        <w:pStyle w:val="[Normal]"/>
        <w:spacing w:line="360" w:lineRule="auto"/>
        <w:ind w:firstLine="1134"/>
        <w:jc w:val="both"/>
        <w:rPr>
          <w:lang w:val="es-AR" w:eastAsia="es-AR" w:bidi="es-AR"/>
        </w:rPr>
      </w:pPr>
      <w:r>
        <w:rPr>
          <w:lang w:val="es-AR" w:eastAsia="es-AR" w:bidi="es-AR"/>
        </w:rPr>
        <w:t xml:space="preserve">Es que esta conclusión se apoya en la prueba producida y no se han traído elementos que permitan un apartamiento de lo decidido, más allá del disgusto que evidencia en la queja.-</w:t>
      </w:r>
    </w:p>
    <w:p>
      <w:pPr>
        <w:pStyle w:val="[Normal]"/>
        <w:spacing w:line="360" w:lineRule="auto"/>
        <w:ind w:firstLine="1134"/>
        <w:jc w:val="both"/>
        <w:rPr>
          <w:lang w:val="es-AR" w:eastAsia="es-AR" w:bidi="es-AR"/>
        </w:rPr>
      </w:pPr>
      <w:r>
        <w:rPr>
          <w:lang w:val="es-AR" w:eastAsia="es-AR" w:bidi="es-AR"/>
        </w:rPr>
        <w:t xml:space="preserve">La pericia mecánica producida el 28/05/2024  informa claramente  los rodados intervinientes, el sentido de circulación, el lugar del impacto, la falta de semáforos en la intersección y los daños de los rodados.- Esto en concordancia con el video obrante a fs 75 de la causa penal, del que se desprende que "el automóvil circulaba por calle San Nicolás hacia el sur o sea hacia el arroyo.- El automóvil disminuye su velocidad ante el inminente impacto deja huellas de 4,5 a 5 m...... circulaba más rápido que la moto que lo hacía  por calle Castelli hacia el oeste, o sea desde 25 de Mayo hacia San Nicolás.- En ningún momento se advierte que la moto aminora su velocidad en el momento del contacto es barrida o arrastrada en el sentido de marcha del automóvil conforme los rastros que se indican en el croquis de fs 31..." (textual) y recogido por la pericia mecánica.-</w:t>
      </w:r>
    </w:p>
    <w:p>
      <w:pPr>
        <w:pStyle w:val="[Normal]"/>
        <w:spacing w:line="360" w:lineRule="auto"/>
        <w:ind w:firstLine="1134"/>
        <w:jc w:val="both"/>
        <w:rPr>
          <w:lang w:val="es-AR" w:eastAsia="es-AR" w:bidi="es-AR"/>
        </w:rPr>
      </w:pPr>
      <w:r>
        <w:rPr>
          <w:lang w:val="es-AR" w:eastAsia="es-AR" w:bidi="es-AR"/>
        </w:rPr>
        <w:t xml:space="preserve">Lo cierto es que de la prueba rendida y no impugnada se desprende que la prioridad de paso la tenía el conductor del vehículo en tanto lo hacía  por la derecha, - y como bien lo señalara el aquo-  si bien no es un bill de indemnidad permite discernir claramente quien goza de mejor posición para acceder a otra calle, un principio ordenador que conjugado con la demás probanzas lleva sin duda alguna a la exoneración de responsabilidad del rodado mayor. La experticia informa claramente que el Fiat entra a la encrucijada de derecha a izquierda mientras que la motocicleta ingresa a la encrucijada de izquierda a derecha de dicho automóvil.-(art. 474 del CPCC y su doctrina).-</w:t>
      </w:r>
    </w:p>
    <w:p>
      <w:pPr>
        <w:pStyle w:val="[Normal]"/>
        <w:spacing w:line="360" w:lineRule="auto"/>
        <w:ind w:firstLine="1134"/>
        <w:jc w:val="both"/>
        <w:rPr>
          <w:lang w:val="es-AR" w:eastAsia="es-AR" w:bidi="es-AR"/>
        </w:rPr>
      </w:pPr>
      <w:r>
        <w:rPr>
          <w:lang w:val="es-AR" w:eastAsia="es-AR" w:bidi="es-AR"/>
        </w:rPr>
        <w:t xml:space="preserve">A pesar de que el quejoso alude a una mayor velocidad de circulación del demandado, ello no ha quedado demostrado en forma prístina, en tanto de ninguna probanza se extrae  la velocidad de ambas máquinas . (art. 375 del CPCC y su doctrina).-</w:t>
      </w:r>
    </w:p>
    <w:p>
      <w:pPr>
        <w:pStyle w:val="[Normal]"/>
        <w:spacing w:line="360" w:lineRule="auto"/>
        <w:ind w:firstLine="1134"/>
        <w:jc w:val="both"/>
        <w:rPr>
          <w:lang w:val="es-AR" w:eastAsia="es-AR" w:bidi="es-AR"/>
        </w:rPr>
      </w:pPr>
      <w:r>
        <w:rPr>
          <w:lang w:val="es-AR" w:eastAsia="es-AR" w:bidi="es-AR"/>
        </w:rPr>
        <w:t xml:space="preserve">Por otra parte el carácter de embistente físico atribuido al rodado que comandaba el accionado, no tiene que ver con el análisis de la culpabilidad, y los efectos que intenta atribuirle el quejoso no son tales.-</w:t>
      </w:r>
    </w:p>
    <w:p>
      <w:pPr>
        <w:pStyle w:val="[Normal]"/>
        <w:spacing w:line="360" w:lineRule="auto"/>
        <w:ind w:firstLine="1134"/>
        <w:jc w:val="both"/>
        <w:rPr>
          <w:lang w:val="es-AR" w:eastAsia="es-AR" w:bidi="es-AR"/>
        </w:rPr>
      </w:pPr>
      <w:r>
        <w:rPr>
          <w:lang w:val="es-AR" w:eastAsia="es-AR" w:bidi="es-AR"/>
        </w:rPr>
        <w:t xml:space="preserve">En este sentido se ha dicho reiteradamente que "Si fue el automotor de la actora quien embistió al de la accionada, es irrelevante acudir a merituar las eventuales condiciones de "embistente" o "embestido" que pudieren adjudicarse a los protagonistas de la colisión, pues en definitiva el concluir desde el punto de vista físico o mecánico en esos juicios no expone concluyentemente donde radica la culpa y la causalidad del suceso, pues en la secuencia final del choque, y cuando ya se han signado los procederes de sus protagonistas por el comportamiento infraccional y relevante causal del mismo, los aludidos roles obedecen las más de las veces a conductas instintivas irremediables o meramente defensivas ante la inminencia del embestimiento.CC0203 LP 119640 RSD-95-16 S 29/06/2016 Juez SOTO (SD) Magistrados Votantes: Soto-Larumbe Tribunal Origen: JC1900LP CC0203 LP 118726 RSD-130-15 S 08/09/2015 Juez SOTO (SD)</w:t>
      </w:r>
    </w:p>
    <w:p>
      <w:pPr>
        <w:pStyle w:val="[Normal]"/>
        <w:spacing w:line="360" w:lineRule="auto"/>
        <w:ind w:firstLine="1134"/>
        <w:jc w:val="both"/>
        <w:rPr>
          <w:lang w:val="es-AR" w:eastAsia="es-AR" w:bidi="es-AR"/>
        </w:rPr>
      </w:pPr>
      <w:r>
        <w:rPr>
          <w:lang w:val="es-AR" w:eastAsia="es-AR" w:bidi="es-AR"/>
        </w:rPr>
        <w:t xml:space="preserve">Y a mayor abundamiento "El hecho físico de que un vehículo embista a otro, por sí sólo, en principio carece de idoneidad suficiente para determinar responsabilidades definitivas, demostrando la experiencia diaria que son numerosas las oportunidades en que un conductor se pone en situación de embestido, realizando prohibidas maniobras de adelantamiento por lo cual, las respectivas calidades de embistente y embestido, si bien válidas en algunos casos, no dejan de ser una concurrente más, pues de lo que se trata en principio, es de evaluar conductas. Es que a fin de determinar la culpa en un accidente de tránsito vehicular, no cabe hablar de embistente o embestido, sino de agente activo en la producción del siniestro. Esta figura pertenece a la disciplina del derecho, en tanto que el concepto de embistente, pertenece a la rama de la dinámica. CC0000 DO 84863 RSD-318-7 S 20/12/2007 Juez DABADIE (SD)Magistrados Votantes: Dabadie-Hankovits.-</w:t>
      </w:r>
    </w:p>
    <w:p>
      <w:pPr>
        <w:pStyle w:val="[Normal]"/>
        <w:spacing w:line="360" w:lineRule="auto"/>
        <w:ind w:firstLine="1134"/>
        <w:jc w:val="both"/>
        <w:rPr>
          <w:lang w:val="es-AR" w:eastAsia="es-AR" w:bidi="es-AR"/>
        </w:rPr>
      </w:pPr>
      <w:r>
        <w:rPr>
          <w:lang w:val="es-AR" w:eastAsia="es-AR" w:bidi="es-AR"/>
        </w:rPr>
        <w:t xml:space="preserve">En síntesis el carácter aludido por el quejoso carece de virtualidad para neutralizar las conclusiones sobre la responsabilidad decidida.-</w:t>
      </w:r>
    </w:p>
    <w:p>
      <w:pPr>
        <w:pStyle w:val="[Normal]"/>
        <w:spacing w:line="360" w:lineRule="auto"/>
        <w:ind w:firstLine="1134"/>
        <w:jc w:val="both"/>
        <w:rPr>
          <w:lang w:val="es-AR" w:eastAsia="es-AR" w:bidi="es-AR"/>
        </w:rPr>
      </w:pPr>
      <w:r>
        <w:rPr>
          <w:lang w:val="es-AR" w:eastAsia="es-AR" w:bidi="es-AR"/>
        </w:rPr>
        <w:t xml:space="preserve">Los puntos sobre los que se apoya el aporte causal relevante del actor han sido bien analizados y desde acá se ratifica ese criterio: En primer lugar sobre la moto del actor circulaban tres personas y sin casco vulnerando la expresa prohibición de la ley de tránsito en tal sentido.- Configurando esta situación una infracción grave en tanto las motos están diseñadas únicamente para un máximo de dos personas (conductor y pasajero). Esta práctica ilegal pone en riesgo extremo la seguridad y estabilidad.</w:t>
      </w:r>
    </w:p>
    <w:p>
      <w:pPr>
        <w:pStyle w:val="[Normal]"/>
        <w:spacing w:line="360" w:lineRule="auto"/>
        <w:ind w:firstLine="1134"/>
        <w:jc w:val="both"/>
        <w:rPr>
          <w:lang w:val="es-AR" w:eastAsia="es-AR" w:bidi="es-AR"/>
        </w:rPr>
      </w:pPr>
      <w:r>
        <w:rPr>
          <w:lang w:val="es-AR" w:eastAsia="es-AR" w:bidi="es-AR"/>
        </w:rPr>
        <w:t xml:space="preserve">La ley nacional de tránsito en el articulo Principales Normas de Circulación (Ley 24.449): Casco y Pasajeros: El uso de casco homologado es obligatorio. Está prohibido llevar más de un acompañante.Documentación Obligatoria: Licencia de conducir (clase A), DNI, cédula verde o rosa, comprobante de seguro vigente y RTO/VTV (según jurisdicción).Seguridad: Está prohibido circular por la banquina. Se deben utilizar las luces de giro para sobrepasos y respetar las prioridades de paso.Velocidades Máximas:Calles: \(40\text{\ km/h}\).Avenidas: \(60\text{\ km/h}\).Zonas Rurales/Autopistas: Hasta \(110\text{\ km/h}\) - \(130\text{\ km/h}\).Posición: El conductor debe ir sentado correctamente con ambas manos en el manubrio.Prohibiciones: Se prohíbe el uso de celulares y el transporte de carga que dificulte la estabilidad. Otras Consideraciones: Rutas/Autovías: En rutas, el acompañante también debe llevar chaleco reflectante.Seguro: Todas las motos deben contar con seguro de responsabilidad civil para circular.Edad: La edad mínima para manejar ciclomotores es de 16 años (sin pasajeros) y para motocicletas mayores es de 17 años. </w:t>
      </w:r>
    </w:p>
    <w:p>
      <w:pPr>
        <w:pStyle w:val="[Normal]"/>
        <w:spacing w:line="360" w:lineRule="auto"/>
        <w:ind w:firstLine="1134"/>
        <w:jc w:val="both"/>
        <w:rPr>
          <w:lang w:val="es-AR" w:eastAsia="es-AR" w:bidi="es-AR"/>
        </w:rPr>
      </w:pPr>
      <w:r>
        <w:rPr>
          <w:lang w:val="es-AR" w:eastAsia="es-AR" w:bidi="es-AR"/>
        </w:rPr>
        <w:t xml:space="preserve">Entonces es la conducta del propio actor que vulnera la ley, llevando una carga de pasajeros que superaba el límite legal sobre una motocicleta y omitiendo el uso del casco.-</w:t>
      </w:r>
    </w:p>
    <w:p>
      <w:pPr>
        <w:pStyle w:val="[Normal]"/>
        <w:spacing w:line="360" w:lineRule="auto"/>
        <w:ind w:firstLine="1134"/>
        <w:jc w:val="both"/>
        <w:rPr>
          <w:lang w:val="es-AR" w:eastAsia="es-AR" w:bidi="es-AR"/>
        </w:rPr>
      </w:pPr>
      <w:r>
        <w:rPr>
          <w:lang w:val="es-AR" w:eastAsia="es-AR" w:bidi="es-AR"/>
        </w:rPr>
        <w:t xml:space="preserve">Ha dicho la SCBA que "...dichas reglamentaciones [las relativas a la habilitación para conducir, supuesto extensible por analogía a la sentencia que declara la incapacidad de la víctima] no pueden ser soslayadas y deben ser consideradas junto con otras circunstancias en oportunidad de calificar la conducta de la víctima o del tercero para determinar si ha ocurrido o no - y en su caso en que extensión - la situación prevista en la parte final del segundo apartado del art.1113 del Código Civil (Ac.89.301 del 2-III-2005; C 92.332, sentencia del 7-II-2007, entre otras)" -el encorchetado me pertenece- (SCBA, BONZI LEANDRO MATIAS C/ SISTERNA SERGIO H Y OTRO S/ DAÑOS Y PERJUICIOS, 26/04/2018).</w:t>
      </w:r>
    </w:p>
    <w:p>
      <w:pPr>
        <w:pStyle w:val="[Normal]"/>
        <w:spacing w:line="360" w:lineRule="auto"/>
        <w:ind w:firstLine="1134"/>
        <w:jc w:val="both"/>
        <w:rPr>
          <w:lang w:val="es-AR" w:eastAsia="es-AR" w:bidi="es-AR"/>
        </w:rPr>
      </w:pPr>
      <w:r>
        <w:rPr>
          <w:lang w:val="es-AR" w:eastAsia="es-AR" w:bidi="es-AR"/>
        </w:rPr>
        <w:t xml:space="preserve">En el caso, la mera prohibición para circular no exime al magistrado de la tarea de apreciar y determinar el concreto aporte causal de los participantes en el evento dañoso como presupuesto de la responsabilidad civil.</w:t>
      </w:r>
    </w:p>
    <w:p>
      <w:pPr>
        <w:pStyle w:val="[Normal]"/>
        <w:spacing w:line="360" w:lineRule="auto"/>
        <w:ind w:firstLine="1134"/>
        <w:jc w:val="both"/>
        <w:rPr>
          <w:lang w:val="es-AR" w:eastAsia="es-AR" w:bidi="es-AR"/>
        </w:rPr>
      </w:pPr>
      <w:r>
        <w:rPr>
          <w:lang w:val="es-AR" w:eastAsia="es-AR" w:bidi="es-AR"/>
        </w:rPr>
        <w:t xml:space="preserve">No puede reducirse el accionar del actor a una infracción normativa puesto que la primera condición para circular en la vía pública es cumplir con el mandato de las normas de tránsito.</w:t>
      </w:r>
    </w:p>
    <w:p>
      <w:pPr>
        <w:pStyle w:val="[Normal]"/>
        <w:spacing w:line="360" w:lineRule="auto"/>
        <w:ind w:firstLine="1134"/>
        <w:jc w:val="both"/>
        <w:rPr>
          <w:lang w:val="es-AR" w:eastAsia="es-AR" w:bidi="es-AR"/>
        </w:rPr>
      </w:pPr>
      <w:r>
        <w:rPr>
          <w:lang w:val="es-AR" w:eastAsia="es-AR" w:bidi="es-AR"/>
        </w:rPr>
        <w:t xml:space="preserve">Como bien lo señala el art. 41 de la ley 24.449 recogido por el juez, todo conductor debe ceder siempre el paso en las encrucijadas al que cruza desde su derecha, y la prioridad del que viene por la derecha es absoluta, también  vulnerado por el actor.-</w:t>
      </w:r>
    </w:p>
    <w:p>
      <w:pPr>
        <w:pStyle w:val="[Normal]"/>
        <w:spacing w:line="360" w:lineRule="auto"/>
        <w:ind w:firstLine="1134"/>
        <w:jc w:val="both"/>
        <w:rPr>
          <w:lang w:val="es-AR" w:eastAsia="es-AR" w:bidi="es-AR"/>
        </w:rPr>
      </w:pPr>
      <w:r>
        <w:rPr>
          <w:lang w:val="es-AR" w:eastAsia="es-AR" w:bidi="es-AR"/>
        </w:rPr>
        <w:t xml:space="preserve">El aporte causal relevante para la configuración del siniestro fue realizado por la propia conducta del actor, con lo cual la misma se erige como eximente de responsabilidad respecto del demandado (art.1757 y 1758 del CCCN.-Y todo ello ha sido bien interpretado por el operador de primera instancia, no conmoviendo la queja las conclusiones del decisorio.-</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Desestimar el recurso de apelación traído, confirmando la sentencia de grado en todas sus partes.-</w:t>
      </w:r>
    </w:p>
    <w:p>
      <w:pPr>
        <w:pStyle w:val="[Normal]"/>
        <w:spacing w:line="360" w:lineRule="auto"/>
        <w:ind w:firstLine="1134"/>
        <w:jc w:val="both"/>
        <w:rPr>
          <w:lang w:val="es-AR" w:eastAsia="es-AR" w:bidi="es-AR"/>
        </w:rPr>
      </w:pPr>
      <w:r>
        <w:rPr>
          <w:lang w:val="es-AR" w:eastAsia="es-AR" w:bidi="es-AR"/>
        </w:rPr>
        <w:t xml:space="preserve">Costas de Alzada a la parte actora (art. 68 del CPCC y su doctrina).-</w:t>
      </w:r>
    </w:p>
    <w:p>
      <w:pPr>
        <w:pStyle w:val="[Normal]"/>
        <w:spacing w:line="360" w:lineRule="auto"/>
        <w:ind w:firstLine="1134"/>
        <w:jc w:val="both"/>
        <w:rPr>
          <w:lang w:val="es-AR" w:eastAsia="es-AR" w:bidi="es-AR"/>
        </w:rPr>
      </w:pPr>
      <w:r>
        <w:rPr>
          <w:lang w:val="es-AR" w:eastAsia="es-AR" w:bidi="es-AR"/>
        </w:rPr>
        <w:t xml:space="preserve">Diferir la regulación de honorarios de los profesionales intervinientes hasta que medie firme la respectiva liquidación de intereses y gastos (art. 51 ley 14.967)</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lang w:val="es-AR" w:eastAsia="es-AR" w:bidi="es-AR"/>
        </w:rPr>
        <w:t xml:space="preserve">S E N T E N C I 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Desestimar el recurso de apelación traído, confirmando la sentencia de grado en todas sus partes.-</w:t>
      </w:r>
    </w:p>
    <w:p>
      <w:pPr>
        <w:pStyle w:val="[Normal]"/>
        <w:spacing w:line="360" w:lineRule="auto"/>
        <w:ind w:firstLine="1134"/>
        <w:jc w:val="both"/>
        <w:rPr>
          <w:lang w:val="es-AR" w:eastAsia="es-AR" w:bidi="es-AR"/>
        </w:rPr>
      </w:pPr>
      <w:r>
        <w:rPr>
          <w:lang w:val="es-AR" w:eastAsia="es-AR" w:bidi="es-AR"/>
        </w:rPr>
        <w:t xml:space="preserve">Costas de Alzada a la parte actora (art. 68 del CPCC y su doctrina).-</w:t>
      </w:r>
    </w:p>
    <w:p>
      <w:pPr>
        <w:pStyle w:val="[Normal]"/>
        <w:spacing w:line="360" w:lineRule="auto"/>
        <w:ind w:firstLine="1134"/>
        <w:jc w:val="both"/>
        <w:rPr>
          <w:lang w:val="es-AR" w:eastAsia="es-AR" w:bidi="es-AR"/>
        </w:rPr>
      </w:pPr>
      <w:r>
        <w:rPr>
          <w:lang w:val="es-AR" w:eastAsia="es-AR" w:bidi="es-AR"/>
        </w:rPr>
        <w:t xml:space="preserve">Diferir la regulación de honorarios de los profesionales intervinientes hasta que medie firme la respectiva liquidación de intereses y gastos (art. 51 ley 14.967)</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20296388638@NOTIFICACIONES.SCBA.GOV.AR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20342407669@NOTIFICACIONES.SCBA.GOV.AR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05/02/2026 10:35:41 -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05/02/2026 11:28:59 -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05/02/2026 11:59:22 - PELUSA Juan Cruz - AUXILIAR LETRADO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‰9H")è&amp;iyYcŠ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254002090006738957</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05/02/2026 11:59:36 hs. bajo el número RS-2-2026 por PELUSA JUAN.</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character" w:styleId="STRONG">
    <w:name w:val="STRONG"/>
    <w:qFormat/>
    <w:rPr>
      <w:b/>
      <w:bCs/>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