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5884-25</w:t>
      </w:r>
      <w:r>
        <w:rPr>
          <w:lang w:val="es-AR" w:eastAsia="es-AR" w:bidi="es-AR"/>
        </w:rPr>
        <w:t xml:space="preserve"> caratulada </w:t>
      </w:r>
      <w:r>
        <w:rPr>
          <w:b/>
          <w:lang w:val="es-AR" w:eastAsia="es-AR" w:bidi="es-AR"/>
        </w:rPr>
        <w:t xml:space="preserve">"</w:t>
      </w:r>
      <w:r>
        <w:rPr>
          <w:b/>
          <w:color w:val="000000"/>
          <w:lang w:val="es-AR" w:eastAsia="es-AR" w:bidi="es-AR"/>
        </w:rPr>
        <w:t xml:space="preserve">CHAMORRO FRANCINA BELEN C/ FEDERACION PATRONAL SEGUROS S.A. S/ EJECUCION DE SENTENCIA</w:t>
      </w:r>
      <w:r>
        <w:rPr>
          <w:b/>
          <w:lang w:val="es-AR" w:eastAsia="es-AR" w:bidi="es-AR"/>
        </w:rPr>
        <w:t xml:space="preserve">"</w:t>
      </w:r>
      <w:r>
        <w:rPr>
          <w:lang w:val="es-AR" w:eastAsia="es-AR" w:bidi="es-AR"/>
        </w:rPr>
        <w:t xml:space="preserve">, Expte.N° 68448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instancia a través de la sentencia en crisis hizo lugar a la excepción de pago total planteada por el demandado mediante la presentación electrónica de fecha 21-07-2025, con costas a la ejecutante vencida. Difirió la regulación de los honorarios de los profesionales intervinientes.</w:t>
      </w:r>
    </w:p>
    <w:p>
      <w:pPr>
        <w:pStyle w:val="[Normal]"/>
        <w:spacing w:line="360" w:lineRule="auto"/>
        <w:ind w:firstLine="1134"/>
        <w:jc w:val="both"/>
        <w:rPr>
          <w:lang w:val="es-AR" w:eastAsia="es-AR" w:bidi="es-AR"/>
        </w:rPr>
      </w:pPr>
      <w:r>
        <w:rPr>
          <w:lang w:val="es-AR" w:eastAsia="es-AR" w:bidi="es-AR"/>
        </w:rPr>
        <w:t xml:space="preserve">En disconformidad con lo resuelto la parte actora apela aquel decisorio en fecha 30-9-2025. Dicho recurso fue concedido en relación el 9-10-2025. Asimismo conferido el traslado pertinente a la contraria, el mismo es contestado el 16-10-2025.</w:t>
      </w:r>
    </w:p>
    <w:p>
      <w:pPr>
        <w:pStyle w:val="[Normal]"/>
        <w:spacing w:line="360" w:lineRule="auto"/>
        <w:ind w:firstLine="1134"/>
        <w:jc w:val="both"/>
        <w:rPr>
          <w:lang w:val="es-AR" w:eastAsia="es-AR" w:bidi="es-AR"/>
        </w:rPr>
      </w:pPr>
      <w:r>
        <w:rPr>
          <w:lang w:val="es-AR" w:eastAsia="es-AR" w:bidi="es-AR"/>
        </w:rPr>
        <w:t xml:space="preserve">Ingresados los autos a esta Alzada el 20-10-2025, en fecha 23-10-2025 se dictó el auto para sentencia,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El recurrente sostiene que la sentencia de grado vulnera la legislación vigente al desnaturalizar las reglas sobre mora, pago total y ejecución de sentencia. Afirma que el plazo de diez días para abonar la parte líquida de la condena venció el 12 de mayo de 2025, configurándose desde entonces la mora de la demandada. </w:t>
      </w:r>
    </w:p>
    <w:p>
      <w:pPr>
        <w:pStyle w:val="[Normal]"/>
        <w:spacing w:line="360" w:lineRule="auto"/>
        <w:ind w:firstLine="1134"/>
        <w:jc w:val="both"/>
        <w:rPr>
          <w:lang w:val="es-AR" w:eastAsia="es-AR" w:bidi="es-AR"/>
        </w:rPr>
      </w:pPr>
      <w:r>
        <w:rPr>
          <w:lang w:val="es-AR" w:eastAsia="es-AR" w:bidi="es-AR"/>
        </w:rPr>
        <w:t xml:space="preserve">Señala que la posterior liquidación aprobada por el a quo el 9 de junio de 2025 no genera nuevos plazos a favor de la obligada dado que la liquidación es un mero cálculo aritmético y la demandada la consintió expresamente el 3 de junio de 2025.</w:t>
      </w:r>
    </w:p>
    <w:p>
      <w:pPr>
        <w:pStyle w:val="[Normal]"/>
        <w:spacing w:line="360" w:lineRule="auto"/>
        <w:ind w:firstLine="1134"/>
        <w:jc w:val="both"/>
        <w:rPr>
          <w:lang w:val="es-AR" w:eastAsia="es-AR" w:bidi="es-AR"/>
        </w:rPr>
      </w:pPr>
      <w:r>
        <w:rPr>
          <w:lang w:val="es-AR" w:eastAsia="es-AR" w:bidi="es-AR"/>
        </w:rPr>
        <w:t xml:space="preserve">Critica que la interpretación del fallo recurrido implica otorgar plazos indebidos a la parte demandada y habilita conductas dilatorias, contrariando lo dispuesto en los arts. 500 y 502 CPCCBA. </w:t>
      </w:r>
    </w:p>
    <w:p>
      <w:pPr>
        <w:pStyle w:val="[Normal]"/>
        <w:spacing w:line="360" w:lineRule="auto"/>
        <w:ind w:firstLine="1134"/>
        <w:jc w:val="both"/>
        <w:rPr>
          <w:lang w:val="es-AR" w:eastAsia="es-AR" w:bidi="es-AR"/>
        </w:rPr>
      </w:pPr>
      <w:r>
        <w:rPr>
          <w:lang w:val="es-AR" w:eastAsia="es-AR" w:bidi="es-AR"/>
        </w:rPr>
        <w:t xml:space="preserve">Destaca que la parte condenada debía haber abonado íntegramente tanto el capital líquido como los accesorios devengados, y que el pago efectuado el 25 de junio de 2025 resultó parcial, pues omitió los intereses generados desde el 17 de mayo de 2025 hasta esa fecha. Alega que el pago parcial no es oponible como excepción, conforme los arts. 865 a 871 del CCyCN, por lo que la ejecución promovida resulta procedente. </w:t>
      </w:r>
    </w:p>
    <w:p>
      <w:pPr>
        <w:pStyle w:val="[Normal]"/>
        <w:spacing w:line="360" w:lineRule="auto"/>
        <w:ind w:firstLine="1134"/>
        <w:jc w:val="both"/>
        <w:rPr>
          <w:lang w:val="es-AR" w:eastAsia="es-AR" w:bidi="es-AR"/>
        </w:rPr>
      </w:pPr>
      <w:r>
        <w:rPr>
          <w:lang w:val="es-AR" w:eastAsia="es-AR" w:bidi="es-AR"/>
        </w:rPr>
        <w:t xml:space="preserve">Añade que la ley lo habilita a ejecutar la suma líquida desde la mora, y que la imposición de costas en su contra vulnera el ejercicio regular de un derecho, cita jurisprudencia en apoyo a su postura. </w:t>
      </w:r>
    </w:p>
    <w:p>
      <w:pPr>
        <w:pStyle w:val="[Normal]"/>
        <w:spacing w:line="360" w:lineRule="auto"/>
        <w:ind w:firstLine="1134"/>
        <w:jc w:val="both"/>
        <w:rPr>
          <w:lang w:val="es-AR" w:eastAsia="es-AR" w:bidi="es-AR"/>
        </w:rPr>
      </w:pPr>
      <w:r>
        <w:rPr>
          <w:lang w:val="es-AR" w:eastAsia="es-AR" w:bidi="es-AR"/>
        </w:rPr>
        <w:t xml:space="preserve">Solicita por ello la revocación total o parcial de la sentencia, con imposición de costas a la demandada o, subsidiariamente, que se deje sin efecto la condena en costas.</w:t>
      </w:r>
    </w:p>
    <w:p>
      <w:pPr>
        <w:pStyle w:val="[Normal]"/>
        <w:spacing w:line="360" w:lineRule="auto"/>
        <w:ind w:firstLine="1134"/>
        <w:jc w:val="both"/>
        <w:rPr>
          <w:lang w:val="es-AR" w:eastAsia="es-AR" w:bidi="es-AR"/>
        </w:rPr>
      </w:pPr>
      <w:r>
        <w:rPr>
          <w:lang w:val="es-AR" w:eastAsia="es-AR" w:bidi="es-AR"/>
        </w:rPr>
        <w:t xml:space="preserve">A su turno la contraria contesta el traslado conferido rechazando  en todos sus términos el recurso interpuesto por la parte actora, peticionando se confirme lo resuelto en la sentencia en crisis.</w:t>
      </w:r>
    </w:p>
    <w:p>
      <w:pPr>
        <w:pStyle w:val="[Normal]"/>
        <w:spacing w:line="360" w:lineRule="auto"/>
        <w:ind w:firstLine="1134"/>
        <w:jc w:val="both"/>
        <w:rPr>
          <w:lang w:val="es-AR" w:eastAsia="es-AR" w:bidi="es-AR"/>
        </w:rPr>
      </w:pPr>
      <w:r>
        <w:rPr>
          <w:lang w:val="es-AR" w:eastAsia="es-AR" w:bidi="es-AR"/>
        </w:rPr>
        <w:t xml:space="preserve">Entrando a resolver encuentro conveniente realizar una breve reseña de los autos principales "Chamorro Francina Belen C/ Soria Fausto Y Otros S/ Daños Y Perj.Autom. C/Les. O Muerte (Exc.Estado)", expte nro. 5493 a fin de dar tratamiento a los agravios esgrimidos por la parte actora, a saber:</w:t>
      </w:r>
    </w:p>
    <w:p>
      <w:pPr>
        <w:pStyle w:val="[Normal]"/>
        <w:spacing w:line="360" w:lineRule="auto"/>
        <w:ind w:firstLine="1134"/>
        <w:jc w:val="both"/>
        <w:rPr>
          <w:lang w:val="es-AR" w:eastAsia="es-AR" w:bidi="es-AR"/>
        </w:rPr>
      </w:pPr>
      <w:r>
        <w:rPr>
          <w:lang w:val="es-AR" w:eastAsia="es-AR" w:bidi="es-AR"/>
        </w:rPr>
        <w:t xml:space="preserve">a) En fecha 30-10-2024 el juez de primera instancia dictó sentencia definitiva condenando a la parte demandada a abonar la suma de $ 35.346.312,33 en concepto de capital, detallando que dicho monto debería ser abonado dentro de los diez días de notificada la presente, más los intereses que serían calculados conforme lo dispuesto en el considerando VI de aquel resolutorio.</w:t>
      </w:r>
    </w:p>
    <w:p>
      <w:pPr>
        <w:pStyle w:val="[Normal]"/>
        <w:spacing w:line="360" w:lineRule="auto"/>
        <w:ind w:firstLine="1134"/>
        <w:jc w:val="both"/>
        <w:rPr>
          <w:lang w:val="es-AR" w:eastAsia="es-AR" w:bidi="es-AR"/>
        </w:rPr>
      </w:pPr>
      <w:r>
        <w:rPr>
          <w:lang w:val="es-AR" w:eastAsia="es-AR" w:bidi="es-AR"/>
        </w:rPr>
        <w:t xml:space="preserve">b) Dicho fallo es apelado por las partes litigantes, por tanto, en fecha 22-4-2025 este Tribunal dictó sentencia definitiva. En la misma se elevaron ciertos rubros indemnizatorios que aumentaron el capital a resarcir a $55.383.619. También se especificó el lapso temporal aplicable a los intereses  en el considerando V del fallo referido.</w:t>
      </w:r>
    </w:p>
    <w:p>
      <w:pPr>
        <w:pStyle w:val="[Normal]"/>
        <w:spacing w:line="360" w:lineRule="auto"/>
        <w:ind w:firstLine="1134"/>
        <w:jc w:val="both"/>
        <w:rPr>
          <w:lang w:val="es-AR" w:eastAsia="es-AR" w:bidi="es-AR"/>
        </w:rPr>
      </w:pPr>
      <w:r>
        <w:rPr>
          <w:lang w:val="es-AR" w:eastAsia="es-AR" w:bidi="es-AR"/>
        </w:rPr>
        <w:t xml:space="preserve">c) Devuelto los autos a la instancia de origen, el 16-5-2025 la parte actora practica liquidación arribando a la suma de $ 67.938.251.39 compresible de capital e intereses.</w:t>
      </w:r>
    </w:p>
    <w:p>
      <w:pPr>
        <w:pStyle w:val="[Normal]"/>
        <w:spacing w:line="360" w:lineRule="auto"/>
        <w:ind w:firstLine="1134"/>
        <w:jc w:val="both"/>
        <w:rPr>
          <w:lang w:val="es-AR" w:eastAsia="es-AR" w:bidi="es-AR"/>
        </w:rPr>
      </w:pPr>
      <w:r>
        <w:rPr>
          <w:lang w:val="es-AR" w:eastAsia="es-AR" w:bidi="es-AR"/>
        </w:rPr>
        <w:t xml:space="preserve">d) Conferido el traslado a la contraria la misma contesta mediante presentación electrónica de fecha 3-6-2025 consintiendo la liquidación detallada en el punto anterior.</w:t>
      </w:r>
    </w:p>
    <w:p>
      <w:pPr>
        <w:pStyle w:val="[Normal]"/>
        <w:spacing w:line="360" w:lineRule="auto"/>
        <w:ind w:firstLine="1134"/>
        <w:jc w:val="both"/>
        <w:rPr>
          <w:lang w:val="es-AR" w:eastAsia="es-AR" w:bidi="es-AR"/>
        </w:rPr>
      </w:pPr>
      <w:r>
        <w:rPr>
          <w:lang w:val="es-AR" w:eastAsia="es-AR" w:bidi="es-AR"/>
        </w:rPr>
        <w:t xml:space="preserve">e) Por tanto el juez a través de la resolución del 9-6-2025 aprueba la liquidación confeccionada por la accionante. Asimismo, procede a regular honorarios de todos los profesionales intervinientes.</w:t>
      </w:r>
    </w:p>
    <w:p>
      <w:pPr>
        <w:pStyle w:val="[Normal]"/>
        <w:spacing w:line="360" w:lineRule="auto"/>
        <w:ind w:firstLine="1134"/>
        <w:jc w:val="both"/>
        <w:rPr>
          <w:lang w:val="es-AR" w:eastAsia="es-AR" w:bidi="es-AR"/>
        </w:rPr>
      </w:pPr>
      <w:r>
        <w:rPr>
          <w:lang w:val="es-AR" w:eastAsia="es-AR" w:bidi="es-AR"/>
        </w:rPr>
        <w:t xml:space="preserve">f) Sin perjuicio de que la demandada impugna los honorarios regulados, mediante la presentación electrónica de fecha 25-6-2025 deposita y da en pago la suma de capital e intereses ($67.938.251,39) aprobada (adjunta comprobantes de pago que indican que el pago se realizó el 24-6-2025) a su vez abona costas, tasa y sobretasa de justicia. Solicita se ordene traslado a la parte actora de la dación en pago efectuada.</w:t>
      </w:r>
    </w:p>
    <w:p>
      <w:pPr>
        <w:pStyle w:val="[Normal]"/>
        <w:spacing w:line="360" w:lineRule="auto"/>
        <w:ind w:firstLine="1134"/>
        <w:jc w:val="both"/>
        <w:rPr>
          <w:lang w:val="es-AR" w:eastAsia="es-AR" w:bidi="es-AR"/>
        </w:rPr>
      </w:pPr>
      <w:r>
        <w:rPr>
          <w:lang w:val="es-AR" w:eastAsia="es-AR" w:bidi="es-AR"/>
        </w:rPr>
        <w:t xml:space="preserve">Realizado este raconto debo señalar que el punto central de la queja entablada por la parte actora radica en establecer si la demandada se encontraba o no en mora al momento de efectuar el pago de las sumas establecidas en la liquidación aprobada en fecha 9-6-2025 (punto e del resumen) siendo aquello de crucial relevancia puesto que implica la procedencia o no del presente proceso de ejecución de sentencia.</w:t>
      </w:r>
    </w:p>
    <w:p>
      <w:pPr>
        <w:pStyle w:val="[Normal]"/>
        <w:spacing w:line="360" w:lineRule="auto"/>
        <w:ind w:firstLine="1134"/>
        <w:jc w:val="both"/>
        <w:rPr>
          <w:lang w:val="es-AR" w:eastAsia="es-AR" w:bidi="es-AR"/>
        </w:rPr>
      </w:pPr>
      <w:r>
        <w:rPr>
          <w:lang w:val="es-AR" w:eastAsia="es-AR" w:bidi="es-AR"/>
        </w:rPr>
        <w:t xml:space="preserve">De la reseña descripta (punto a) surge que la sentencia dictada en primera instancia en fecha 30-10-2024 impone un plazo de 10 días computables a partir de que fuere notificada para cumplimiento del monto liquido allí establecido. Esta disposición se condice con lo normado en el art. 163 inc 7 del CPC.</w:t>
      </w:r>
    </w:p>
    <w:p>
      <w:pPr>
        <w:pStyle w:val="[Normal]"/>
        <w:spacing w:line="360" w:lineRule="auto"/>
        <w:ind w:firstLine="1134"/>
        <w:jc w:val="both"/>
        <w:rPr>
          <w:lang w:val="es-AR" w:eastAsia="es-AR" w:bidi="es-AR"/>
        </w:rPr>
      </w:pPr>
      <w:r>
        <w:rPr>
          <w:lang w:val="es-AR" w:eastAsia="es-AR" w:bidi="es-AR"/>
        </w:rPr>
        <w:t xml:space="preserve">En referencia a ello destacada doctrina ha expresado que "El juez debe fijar el plazo que se otorgue para el cumplimiento de la sentencia, si fuere susceptible de ejecución. Es decir que cuando revista carácter condenatorio ha de contener la determinación del plazo del cual ha de cumplirse" (art. 163 inc 7, Cod Procesal; Cfr.Palacio, Derecho procesal civil , vol. V,p. 439, B) (C. 2da. La Plata, Sala 1era. causa B-46.183, reg. sent. 57/79). Morello Augusto Mario, Sosa Gualberto Lucas, Berizonce Roberto Omar, Códigos Procesales en lo Civil y Comercial de la Provincia de Buenos Aires y de la Nación Comentados y Anotados, Tomo III, Editorial Abeledo Perrot, Edición 2015, página 491.</w:t>
      </w:r>
    </w:p>
    <w:p>
      <w:pPr>
        <w:pStyle w:val="[Normal]"/>
        <w:spacing w:line="360" w:lineRule="auto"/>
        <w:ind w:firstLine="1134"/>
        <w:jc w:val="both"/>
        <w:rPr>
          <w:lang w:val="es-AR" w:eastAsia="es-AR" w:bidi="es-AR"/>
        </w:rPr>
      </w:pPr>
      <w:r>
        <w:rPr>
          <w:lang w:val="es-AR" w:eastAsia="es-AR" w:bidi="es-AR"/>
        </w:rPr>
        <w:t xml:space="preserve">Y es que en la especie no se encuentra controvertido que la sentencia de fecha 30 de octubre de 2024 -parcialmente modificada por esta Cámara el 22 de abril de 2025 en cuanto al quantum indemnizatorio- haya dispuesto en su segmento resolutivo un plazo de diez días desde su notificación para el cumplimiento de la condena, previsión que no fue alterada por ésta Alzada, quedando posteriormente firme y consentida.</w:t>
      </w:r>
    </w:p>
    <w:p>
      <w:pPr>
        <w:pStyle w:val="[Normal]"/>
        <w:spacing w:line="360" w:lineRule="auto"/>
        <w:ind w:firstLine="1134"/>
        <w:jc w:val="both"/>
        <w:rPr>
          <w:lang w:val="es-AR" w:eastAsia="es-AR" w:bidi="es-AR"/>
        </w:rPr>
      </w:pPr>
      <w:r>
        <w:rPr>
          <w:lang w:val="es-AR" w:eastAsia="es-AR" w:bidi="es-AR"/>
        </w:rPr>
        <w:t xml:space="preserve">En virtud de ello corresponde enfatizar que la sentencia definitiva es un pronunciamiento que se encuentra constituido de una serie de razonamientos concatenados y vinculados entre sí, siendo éstos la base sobre la que se fundamenta el pronunciamiento de dichas ideas y disposiciones, éstas residen en una totalidad y no pueden verse de manera aislada o sesgada.</w:t>
      </w:r>
    </w:p>
    <w:p>
      <w:pPr>
        <w:pStyle w:val="[Normal]"/>
        <w:spacing w:line="360" w:lineRule="auto"/>
        <w:ind w:firstLine="1134"/>
        <w:jc w:val="both"/>
        <w:rPr>
          <w:lang w:val="es-AR" w:eastAsia="es-AR" w:bidi="es-AR"/>
        </w:rPr>
      </w:pPr>
      <w:r>
        <w:rPr>
          <w:lang w:val="es-AR" w:eastAsia="es-AR" w:bidi="es-AR"/>
        </w:rPr>
        <w:t xml:space="preserve">En esta tónica, nuestro Máximo Tribunal Argentino ha definido a la sentencia como "acto inescindible, una unidad lógica jurídica cuya parte dispositiva debe ser la conclusión final y necesaria, por derivación razonada, del análisis de los presupuestos fácticos y normativos efectuados en su fundamentación" (conf. CSJN, 27-6-89, ED, 134-723). De modo que toda interpretación de la sentencia que pretenda neutralizar la incidencia práctica de los considerandos o de su apartado resolutivo debe ser apreciada con criterio restrictivo.</w:t>
      </w:r>
    </w:p>
    <w:p>
      <w:pPr>
        <w:pStyle w:val="[Normal]"/>
        <w:spacing w:line="360" w:lineRule="auto"/>
        <w:ind w:firstLine="1134"/>
        <w:jc w:val="both"/>
        <w:rPr>
          <w:lang w:val="es-AR" w:eastAsia="es-AR" w:bidi="es-AR"/>
        </w:rPr>
      </w:pPr>
      <w:r>
        <w:rPr>
          <w:lang w:val="es-AR" w:eastAsia="es-AR" w:bidi="es-AR"/>
        </w:rPr>
        <w:t xml:space="preserve">Ahora bien , el código de rito en su articulo 500 faculta al acreedor a ejecutar la suma líquida sin esperar la liquidación de la parte ilíquida. Dicha norma consagra una potestad procesal del ejecutante y no altera el régimen sustancial de exigibilidad de la obligación ni transforma automáticamente en vencida la porción aún indeterminada la cual se encuentra sujeta a un plazo determinado a fin de adquirir firmeza o tornarse exigible. </w:t>
      </w:r>
    </w:p>
    <w:p>
      <w:pPr>
        <w:pStyle w:val="[Normal]"/>
        <w:spacing w:line="360" w:lineRule="auto"/>
        <w:ind w:firstLine="1134"/>
        <w:jc w:val="both"/>
        <w:rPr>
          <w:lang w:val="es-AR" w:eastAsia="es-AR" w:bidi="es-AR"/>
        </w:rPr>
      </w:pPr>
      <w:r>
        <w:rPr>
          <w:lang w:val="es-AR" w:eastAsia="es-AR" w:bidi="es-AR"/>
        </w:rPr>
        <w:t xml:space="preserve">En el caso, la actora no limitó su pretensión a la suma originariamente líquida de $55.383.619 y eventualmente exigible por cumplimiento del plazo fijado por la sentencia definitiva, sino que promovió ejecución por el monto total aditando intereses ($ 67.938.251,39) resultante de la liquidación aprobada el 9 de junio de 2025 por el a quo. Considerando que la sola notificación de la misma o el cumplimiento del termino legal para oponer recursos son suficientes a fin de dotar de firmeza a aquella resolución y colocar al obligado al pago en mora.</w:t>
      </w:r>
    </w:p>
    <w:p>
      <w:pPr>
        <w:pStyle w:val="[Normal]"/>
        <w:spacing w:line="360" w:lineRule="auto"/>
        <w:ind w:firstLine="1134"/>
        <w:jc w:val="both"/>
        <w:rPr>
          <w:lang w:val="es-AR" w:eastAsia="es-AR" w:bidi="es-AR"/>
        </w:rPr>
      </w:pPr>
      <w:r>
        <w:rPr>
          <w:lang w:val="es-AR" w:eastAsia="es-AR" w:bidi="es-AR"/>
        </w:rPr>
        <w:t xml:space="preserve">Sentado aquello debo manifestar que asiste razón al magistrado de primera instancia cuando sostuvo que no podía considerarse configurada la mora respecto del total aquí reclamado antes de que se cumpliese el plazo de 10 días que impuso la propia sentencia definitiva. Es decir la faceta liquidatoria que aquí se discute,  debe entenderse como un segmento postergado o pospuesto de la sentencia definitiva. Ya que la liquidación aprobada constituye la determinación cuantitativa de la condena en sus términos ya firmes, es decir integra la sentencia como parte diferida de su contenido, pero no configura una obligación nueva ni autónoma. En consecuencia, el plazo de diez días previsto en el fallo debe proyectarse también sobre dicha determinación, pues lo contrario importaría modificar el alcance temporal de un pronunciamiento firme, en contradicción con el principio de cosa juzgada que rige la etapa ejecutoria (arts. 497 y concs. del CPCC).</w:t>
      </w:r>
    </w:p>
    <w:p>
      <w:pPr>
        <w:pStyle w:val="[Normal]"/>
        <w:spacing w:line="360" w:lineRule="auto"/>
        <w:ind w:firstLine="1134"/>
        <w:jc w:val="both"/>
        <w:rPr>
          <w:lang w:val="es-AR" w:eastAsia="es-AR" w:bidi="es-AR"/>
        </w:rPr>
      </w:pPr>
      <w:r>
        <w:rPr>
          <w:lang w:val="es-AR" w:eastAsia="es-AR" w:bidi="es-AR"/>
        </w:rPr>
        <w:t xml:space="preserve">Respecto de la cosa juzgada cabe recordar que es criterio de ésta Cámara que ..."Frente a la impronta de orden público y jerarquía constitucional que exhibe la cosa juzgada surgente de la sentencia firme, la liquidación a concretar debe atenerse a las precisas pautas señaladas en la misma, pues la fase ejecutoria ha de estar delimitada por el alcance de la sentencia que dinamiza y, a su vez, legitima la determinación de la suma líquida a oblar, la que surgirá del estricto seguimiento de los parámetros establecidos en la resolución que mandó llevar adelante la ejecución..." (C.A.P., Causa Nº 1.693-13, RSI 80-13 del 11/04/13; Causa Nº 2.081-14, RSI 83-14 del 22/05/14 entre otras).-</w:t>
      </w:r>
    </w:p>
    <w:p>
      <w:pPr>
        <w:pStyle w:val="[Normal]"/>
        <w:spacing w:line="360" w:lineRule="auto"/>
        <w:ind w:firstLine="1134"/>
        <w:jc w:val="both"/>
        <w:rPr>
          <w:lang w:val="es-AR" w:eastAsia="es-AR" w:bidi="es-AR"/>
        </w:rPr>
      </w:pPr>
      <w:r>
        <w:rPr>
          <w:lang w:val="es-AR" w:eastAsia="es-AR" w:bidi="es-AR"/>
        </w:rPr>
        <w:t xml:space="preserve">Por tanto, surge del cómputo efectuado que el depósito judicial realizado el 24 de junio de 2025 se efectuó dentro del plazo de diez días contados desde la notificación de la resolución aprobatoria de fecha 9 de junio de 2025, cuyo vencimiento operaba el 26 de junio de 2025. En consecuencia, el pago resultó tempestivo y completo en los términos de los arts. 865, 867, 869, 870 y 871 inc. b) del Código Civil y Comercial.</w:t>
      </w:r>
    </w:p>
    <w:p>
      <w:pPr>
        <w:pStyle w:val="[Normal]"/>
        <w:spacing w:line="360" w:lineRule="auto"/>
        <w:ind w:firstLine="1134"/>
        <w:jc w:val="both"/>
        <w:rPr>
          <w:lang w:val="es-AR" w:eastAsia="es-AR" w:bidi="es-AR"/>
        </w:rPr>
      </w:pPr>
      <w:r>
        <w:rPr>
          <w:lang w:val="es-AR" w:eastAsia="es-AR" w:bidi="es-AR"/>
        </w:rPr>
        <w:t xml:space="preserve">Por lo expuesto no resultan atendibles los argumentos desplegados por la quejosa relativos al término de 5 dias que alega, ya que el mismo se corresponde con el plazo dispuesto por la ley para la interposición de recursos, circunstancia que no reviste incidencia respecto del lapso de tiempo fijado en la sentencia definitiva para el cumplimiento de la misma. </w:t>
      </w:r>
    </w:p>
    <w:p>
      <w:pPr>
        <w:pStyle w:val="[Normal]"/>
        <w:spacing w:line="360" w:lineRule="auto"/>
        <w:ind w:firstLine="1134"/>
        <w:jc w:val="both"/>
        <w:rPr>
          <w:lang w:val="es-AR" w:eastAsia="es-AR" w:bidi="es-AR"/>
        </w:rPr>
      </w:pPr>
      <w:r>
        <w:rPr>
          <w:lang w:val="es-AR" w:eastAsia="es-AR" w:bidi="es-AR"/>
        </w:rPr>
        <w:t xml:space="preserve">A mayor abundamiento y como parámetro ejemplificativo de la distinción que debe realizarse entre el termino legal establecido para la interposición de remedios recursivos y el plazo fijado para el cumplimiento de pago corresponde mencionar la ley de honorarios profesionales (14.967), en su articulo 54 establece que los honorarios regulados por trabajos judiciales deberán abonarse dentro de los diez (10) días de haber quedado firme el auto regulatorio, en tanto el articulo 57 dispone: que las regulaciones de honorarios serán apelables dentro del término de cinco (5) días.</w:t>
      </w:r>
    </w:p>
    <w:p>
      <w:pPr>
        <w:pStyle w:val="[Normal]"/>
        <w:spacing w:line="360" w:lineRule="auto"/>
        <w:ind w:firstLine="1134"/>
        <w:jc w:val="both"/>
        <w:rPr>
          <w:lang w:val="es-AR" w:eastAsia="es-AR" w:bidi="es-AR"/>
        </w:rPr>
      </w:pPr>
      <w:r>
        <w:rPr>
          <w:lang w:val="es-AR" w:eastAsia="es-AR" w:bidi="es-AR"/>
        </w:rPr>
        <w:t xml:space="preserve">Tampoco resulta atendible el argumento según el cual el consentimiento prestado el 3 de junio de 2025 privaba al deudor de todo plazo para cumplir la porción ilíquida, ya que al existir un plazo de cumplimiento en la sentencia ya firme no puede considerarse a dicha porción pasible de ejecución inmediata.</w:t>
      </w:r>
    </w:p>
    <w:p>
      <w:pPr>
        <w:pStyle w:val="[Normal]"/>
        <w:spacing w:line="360" w:lineRule="auto"/>
        <w:ind w:firstLine="1134"/>
        <w:jc w:val="both"/>
        <w:rPr>
          <w:lang w:val="es-AR" w:eastAsia="es-AR" w:bidi="es-AR"/>
        </w:rPr>
      </w:pPr>
      <w:r>
        <w:rPr>
          <w:lang w:val="es-AR" w:eastAsia="es-AR" w:bidi="es-AR"/>
        </w:rPr>
        <w:t xml:space="preserve">Por otro lado y en cuanto a la alegada existencia de un pago parcial por no haberse incluido intereses posteriores al 16 de mayo de 2025, tal planteo presupone la configuración de una mora anterior que no se verifica en autos. No configurada la mora en los términos pretendidos por la apelante, no corresponde adicionar accesorios más allá de los determinados en la liquidación consentida y aprobada.</w:t>
      </w:r>
    </w:p>
    <w:p>
      <w:pPr>
        <w:pStyle w:val="[Normal]"/>
        <w:spacing w:line="360" w:lineRule="auto"/>
        <w:ind w:firstLine="1134"/>
        <w:jc w:val="both"/>
        <w:rPr>
          <w:lang w:val="es-AR" w:eastAsia="es-AR" w:bidi="es-AR"/>
        </w:rPr>
      </w:pPr>
      <w:r>
        <w:rPr>
          <w:lang w:val="es-AR" w:eastAsia="es-AR" w:bidi="es-AR"/>
        </w:rPr>
        <w:t xml:space="preserve">Por lo demás, el reconocimiento efectuado por el sentenciante respecto de la facultad prevista en el art. 500 del CPCC no implica admitir la procedencia de la ejecución tal como fue promovida, pues la actora optó por ejecutar el monto total comprensivo de capital e intereses; y respecto de esa pretensión global, el pago fue realizado dentro del plazo legal.</w:t>
      </w:r>
    </w:p>
    <w:p>
      <w:pPr>
        <w:pStyle w:val="[Normal]"/>
        <w:spacing w:line="360" w:lineRule="auto"/>
        <w:ind w:firstLine="1134"/>
        <w:jc w:val="both"/>
        <w:rPr>
          <w:lang w:val="es-AR" w:eastAsia="es-AR" w:bidi="es-AR"/>
        </w:rPr>
      </w:pPr>
      <w:r>
        <w:rPr>
          <w:lang w:val="es-AR" w:eastAsia="es-AR" w:bidi="es-AR"/>
        </w:rPr>
        <w:t xml:space="preserve">Por todo lo expuesto, propongo al acuerdo rechazar el recurso de apelación interpuesto y confirmar la sentencia en crisis en todo cuanto fue materia de agravios.</w:t>
      </w:r>
    </w:p>
    <w:p>
      <w:pPr>
        <w:pStyle w:val="[Normal]"/>
        <w:spacing w:line="360" w:lineRule="auto"/>
        <w:ind w:firstLine="1134"/>
        <w:jc w:val="both"/>
        <w:rPr>
          <w:lang w:val="es-AR" w:eastAsia="es-AR" w:bidi="es-AR"/>
        </w:rPr>
      </w:pPr>
      <w:r>
        <w:rPr>
          <w:lang w:val="es-AR" w:eastAsia="es-AR" w:bidi="es-AR"/>
        </w:rPr>
        <w:t xml:space="preserve">Por último y en cuanto a las costas de Alzada, toda vez que el inicio del presente incidente se ha basado sobre un derecho que la parte actora creyó tener, asimismo en atención a la complejidad de la cuestión y el modo en que ha sido resuelto el remedio recursivo intentado dicha parte, es que se imponen las costas por su orden (art. 68/69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Costas de Alzada por su orden (art. 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Costas de Alzada por su orden (art. 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10:54:13 -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11:02:16 -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11:28:06 -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‰7x")è&amp;jh9UŠ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238802090006747225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19/02/2026 11:28:27 hs. bajo el número RS-6-2026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