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5386-24</w:t>
      </w:r>
      <w:r>
        <w:rPr>
          <w:lang w:val="es-AR" w:eastAsia="es-AR" w:bidi="es-AR"/>
        </w:rPr>
        <w:t xml:space="preserve"> caratulada </w:t>
      </w:r>
      <w:r>
        <w:rPr>
          <w:b/>
          <w:lang w:val="es-AR" w:eastAsia="es-AR" w:bidi="es-AR"/>
        </w:rPr>
        <w:t xml:space="preserve">"</w:t>
      </w:r>
      <w:r>
        <w:rPr>
          <w:b/>
          <w:color w:val="000000"/>
          <w:lang w:val="es-AR" w:eastAsia="es-AR" w:bidi="es-AR"/>
        </w:rPr>
        <w:t xml:space="preserve">SINELLI IRMA INES C/ AGROMAQUINARIAS DEL NORTE - PERGAMINO S.A  Y OTROS S/ NULIDAD ACTO JURIDICO</w:t>
      </w:r>
      <w:r>
        <w:rPr>
          <w:b/>
          <w:lang w:val="es-AR" w:eastAsia="es-AR" w:bidi="es-AR"/>
        </w:rPr>
        <w:t xml:space="preserve">"</w:t>
      </w:r>
      <w:r>
        <w:rPr>
          <w:lang w:val="es-AR" w:eastAsia="es-AR" w:bidi="es-AR"/>
        </w:rPr>
        <w:t xml:space="preserve">, Expte. </w:t>
      </w:r>
      <w:r>
        <w:rPr>
          <w:color w:val="000000"/>
          <w:lang w:val="es-AR" w:eastAsia="es-AR" w:bidi="es-AR"/>
        </w:rPr>
        <w:t xml:space="preserve">66.426</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rechazó la demanda que instaurara Irma Ines Sinelli por vía  de juicio sumario contra La Raquelita S.C.A., Alfredo Tomas Sinelli, Agromaquinarias del Norte S. A., Tomas Sinelli, Santiago Sinelli y Silvia Liliana Fernandez.  Aplicó las costas a la parte actora, que resulta vencida (Art. 68 C.P.C.).  Difirió la regulación de honorarios de  los letrados  intervinientes  y de los peritos, hasta que se haya  determinado la base para ello (Art. 27 Inc. a, ley 14.967).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19-9-2025 por la parte actora, concedido el 23-9-2025 libremente y en ambos efectos.  Elevados los autos a esta Alzada en fecha 26-9-2025 se ordenó expresar agravios a la parte actora, quien el 7-10-2025 los fundó y del mismo traslado a los demandados. El 16-10-2025 fue evacuado por el Dr. Victor M. Saez patrocinante de la Sra. María M. Otamendi y el 17-10-2025 por el Dr. Ramiro J. Llan de Rosos patrocinante de Tomás Sinelli. El 2-10-2025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recursiva, la parte actora expresó los siguientes puntos de agravio:</w:t>
      </w:r>
    </w:p>
    <w:p>
      <w:pPr>
        <w:pStyle w:val="[Normal]"/>
        <w:spacing w:line="360" w:lineRule="auto"/>
        <w:ind w:firstLine="1134"/>
        <w:jc w:val="both"/>
        <w:rPr>
          <w:lang w:val="es-AR" w:eastAsia="es-AR" w:bidi="es-AR"/>
        </w:rPr>
      </w:pPr>
      <w:r>
        <w:rPr>
          <w:lang w:val="es-AR" w:eastAsia="es-AR" w:bidi="es-AR"/>
        </w:rPr>
        <w:t xml:space="preserve">1) Agravio por indebida declaración de falta de legitimación activa y por rigorismo formal en torno a la </w:t>
      </w:r>
      <w:r>
        <w:rPr>
          <w:i/>
          <w:lang w:val="es-AR" w:eastAsia="es-AR" w:bidi="es-AR"/>
        </w:rPr>
        <w:t xml:space="preserve">“calidad de socia hereditaria”</w:t>
      </w:r>
      <w:r>
        <w:rPr>
          <w:lang w:val="es-AR" w:eastAsia="es-AR" w:bidi="es-AR"/>
        </w:rPr>
        <w:t xml:space="preserve">. La recurrente reprocha que la sentencia haya rechazado, como cuestión liminar, su legitimación para promover las acciones vinculadas a LA RAQUELITA SCA, exigiéndole como condición previa la denuncia del bien en el sucesorio y la inscripción registral de las acciones a su nombre, aun cuando -según afirma- ese itinerario era manifiestamente inútil en el caso: el coheredero habría desconocido por vía extrajudicial cualquier derecho suyo sobre el capital social, y los demandados habrían mantenido una conducta de resistencia que hacía inviable obtener la registración sin antes dilucidar judicialmente el conflicto. Sostiene que su pretensión no tiende al ejercicio formal de derechos societarios sino a la tutela sustancial del patrimonio transmitido mortis causa y a la desarticulación de un fraude, de modo que la formalidad registral no puede erigirse en obstáculo para el acceso a la jurisdicción y la tutela judicial efectiva.</w:t>
      </w:r>
    </w:p>
    <w:p>
      <w:pPr>
        <w:pStyle w:val="[Normal]"/>
        <w:spacing w:line="360" w:lineRule="auto"/>
        <w:ind w:firstLine="1134"/>
        <w:jc w:val="both"/>
        <w:rPr>
          <w:lang w:val="es-AR" w:eastAsia="es-AR" w:bidi="es-AR"/>
        </w:rPr>
      </w:pPr>
      <w:r>
        <w:rPr>
          <w:lang w:val="es-AR" w:eastAsia="es-AR" w:bidi="es-AR"/>
        </w:rPr>
        <w:t xml:space="preserve">2) Agravio por errónea aplicación del precedente invocado por el a quo y falta de distinción del caso. La actora cuestiona que el juzgador haya apoyado la falta de legitimación en un antecedente jurisprudencial que, a su entender, no guarda correspondencia con los presupuestos fácticos ni con la problemática jurídica ventilada, limitándose a transcribirlo como “fórmula” y sustituyendo el examen del caso concreto por un razonamiento estereotipado. Plantea que, de haberse ponderado el conflicto real (negación de derechos hereditarios, oposición del socio remanente, contexto de maniobras y vaciamiento), la solución debía orientarse a habilitar la vía para discutir la titularidad sustancial y la eventual ilicitud denunciada, y no a clausurar el debate por una exigencia procedimental que, en el escenario descripto, funcionaría como un círculo vicioso (no hay inscripción porque se desconoce el derecho; y se niega el derecho porque no hay inscripción).</w:t>
      </w:r>
    </w:p>
    <w:p>
      <w:pPr>
        <w:pStyle w:val="[Normal]"/>
        <w:spacing w:line="360" w:lineRule="auto"/>
        <w:ind w:firstLine="1134"/>
        <w:jc w:val="both"/>
        <w:rPr>
          <w:lang w:val="es-AR" w:eastAsia="es-AR" w:bidi="es-AR"/>
        </w:rPr>
      </w:pPr>
      <w:r>
        <w:rPr>
          <w:lang w:val="es-AR" w:eastAsia="es-AR" w:bidi="es-AR"/>
        </w:rPr>
        <w:t xml:space="preserve">3) Agravio por valoración arbitraria e insuficiente de la prueba y del derecho aplicable al supuesto contrato de transmisión de acciones, con convalidación de una apariencia documental. La recurrente impugna la conclusión sentencial que tuvo por acreditada la enajenación de acciones invocada por el demandado para neutralizar su reclamo, afirmando que la existencia del contrato —carga del invocante— no fue demostrada y que sólo se exhibieron instrumentos unilaterales (acta/registraciones societarias carentes de respaldo idóneo) que, lejos de probar la operación, responderían a una maniobra destinada a generar apariencia y producir engaño procesal. Objeta además el razonamiento que minimiza las exigencias propias de la transferencia accionaria (y su anotación/solicitud de registración), y pide que se valoren presunciones y elementos indiciarios que, según dice, son concordantes con la inexistencia de aquella venta y con la subsistencia de su posición hereditaria (incluyendo conductas posteriores vinculadas a la percepción de frutos o rendimientos).</w:t>
      </w:r>
    </w:p>
    <w:p>
      <w:pPr>
        <w:pStyle w:val="[Normal]"/>
        <w:spacing w:line="360" w:lineRule="auto"/>
        <w:ind w:firstLine="1134"/>
        <w:jc w:val="both"/>
        <w:rPr>
          <w:lang w:val="es-AR" w:eastAsia="es-AR" w:bidi="es-AR"/>
        </w:rPr>
      </w:pPr>
      <w:r>
        <w:rPr>
          <w:lang w:val="es-AR" w:eastAsia="es-AR" w:bidi="es-AR"/>
        </w:rPr>
        <w:t xml:space="preserve">4) Agravio por omisión de tratar el resto de las pretensiones (y sus consecuencias en materia de costas) una vez cerrada la discusión por legitimación. La apelante sostiene que, admitida su legitimación, corresponde que la alzada se avoque al examen integral de las restantes cuestiones introducidas en la demanda y que quedaron sin decisión: en particular, la impugnación de la actuación notarial y la validez de los actos instrumentados frente a restricciones estatutarias (con invocación de cláusulas que exigirían conformidad asamblearia para ciertos actos), así como el análisis del fraude/vaciamiento societario que afirma acreditado. Sobre esa base, también cuestiona la imposición de costas derivada del rechazo liminar, postulando que deben soportarlas quienes -según su tesis- resultan responsables de las maniobras denunciadas.</w:t>
      </w:r>
    </w:p>
    <w:p>
      <w:pPr>
        <w:pStyle w:val="[Normal]"/>
        <w:spacing w:line="360" w:lineRule="auto"/>
        <w:ind w:firstLine="1134"/>
        <w:jc w:val="both"/>
        <w:rPr>
          <w:lang w:val="es-AR" w:eastAsia="es-AR" w:bidi="es-AR"/>
        </w:rPr>
      </w:pPr>
      <w:r>
        <w:rPr>
          <w:lang w:val="es-AR" w:eastAsia="es-AR" w:bidi="es-AR"/>
        </w:rPr>
        <w:t xml:space="preserve">A su turno, la contestación presentada por los codemandados La Raquelita S.C.A., Alfredo Tomas Sinelli, Agromaquinarias del Norte S. A., Tomas Sinelli, Santiago Sinelli y </w:t>
      </w:r>
      <w:r>
        <w:rPr>
          <w:rStyle w:val="STRONG"/>
          <w:b w:val="off"/>
          <w:lang w:val="es-AR" w:eastAsia="es-AR" w:bidi="es-AR"/>
        </w:rPr>
        <w:t xml:space="preserve">Silvia Liliana Fernández</w:t>
      </w:r>
      <w:r>
        <w:rPr>
          <w:rStyle w:val="STRONG"/>
          <w:lang w:val="es-AR" w:eastAsia="es-AR" w:bidi="es-AR"/>
        </w:rPr>
        <w:t xml:space="preserve"> </w:t>
      </w:r>
      <w:r>
        <w:rPr>
          <w:lang w:val="es-AR" w:eastAsia="es-AR" w:bidi="es-AR"/>
        </w:rPr>
        <w:t xml:space="preserve">al traslado de la expresión de agravios presenta como eje el pedido de confirmación íntegra del rechazo de la demanda por falta de legitimación activa. </w:t>
      </w:r>
    </w:p>
    <w:p>
      <w:pPr>
        <w:pStyle w:val="[Normal]"/>
        <w:spacing w:line="360" w:lineRule="auto"/>
        <w:ind w:firstLine="1134"/>
        <w:jc w:val="both"/>
        <w:rPr>
          <w:lang w:val="es-AR" w:eastAsia="es-AR" w:bidi="es-AR"/>
        </w:rPr>
      </w:pPr>
      <w:r>
        <w:rPr>
          <w:lang w:val="es-AR" w:eastAsia="es-AR" w:bidi="es-AR"/>
        </w:rPr>
        <w:t xml:space="preserve">Al respecto, sostienen que la actora no acreditó la calidad jurídica necesaria para accionar como </w:t>
      </w:r>
      <w:r>
        <w:rPr>
          <w:i/>
          <w:lang w:val="es-AR" w:eastAsia="es-AR" w:bidi="es-AR"/>
        </w:rPr>
        <w:t xml:space="preserve">“socia”</w:t>
      </w:r>
      <w:r>
        <w:rPr>
          <w:lang w:val="es-AR" w:eastAsia="es-AR" w:bidi="es-AR"/>
        </w:rPr>
        <w:t xml:space="preserve"> de La Raquelita S.C.A. ni para impugnar actos societarios, pues no denunció el bien en el sucesorio ni cumplió el itinerario propio para obtener, en su caso, el reconocimiento y la registración de la titularidad hereditaria. Plantean que esa omisión no puede suplirse con afirmaciones genéricas sobre supuestas maniobras o resistencias del coheredero, porque la legitimación es un presupuesto sustancial previo, sin el cual no corresponde abrir el examen del fraude o la simulación denunciados.</w:t>
      </w:r>
    </w:p>
    <w:p>
      <w:pPr>
        <w:pStyle w:val="[Normal]"/>
        <w:spacing w:line="360" w:lineRule="auto"/>
        <w:ind w:firstLine="1134"/>
        <w:jc w:val="both"/>
        <w:rPr>
          <w:lang w:val="es-AR" w:eastAsia="es-AR" w:bidi="es-AR"/>
        </w:rPr>
      </w:pPr>
      <w:r>
        <w:rPr>
          <w:lang w:val="es-AR" w:eastAsia="es-AR" w:bidi="es-AR"/>
        </w:rPr>
        <w:t xml:space="preserve">En esa misma línea, señalan que los agravios de la actora no constituyen una crítica concreta y razonada del fallo, sino un mero disenso y, en parte, una hipótesis contrafáctica (“qué habría ocurrido si se denunciaba el bien en el sucesorio”) que consideran impropia como técnica recursiva.</w:t>
      </w:r>
    </w:p>
    <w:p>
      <w:pPr>
        <w:pStyle w:val="[Normal]"/>
        <w:spacing w:line="360" w:lineRule="auto"/>
        <w:ind w:firstLine="1134"/>
        <w:jc w:val="both"/>
        <w:rPr>
          <w:lang w:val="es-AR" w:eastAsia="es-AR" w:bidi="es-AR"/>
        </w:rPr>
      </w:pPr>
      <w:r>
        <w:rPr>
          <w:lang w:val="es-AR" w:eastAsia="es-AR" w:bidi="es-AR"/>
        </w:rPr>
        <w:t xml:space="preserve">Enfatizan que el juez de primera instancia aplicó correctamente el criterio de que no basta invocar la posesión hereditaria o la vocación sucesoria para arrogarse la condición de accionista o socio, y que la actora pretende invertir el orden lógico-jurídico del análisis, resolviendo primero la simulación/fraude para recién después acreditar el título habilitante, lo que reputan inadmisible.</w:t>
      </w:r>
    </w:p>
    <w:p>
      <w:pPr>
        <w:pStyle w:val="[Normal]"/>
        <w:spacing w:line="360" w:lineRule="auto"/>
        <w:ind w:firstLine="1134"/>
        <w:jc w:val="both"/>
        <w:rPr>
          <w:lang w:val="es-AR" w:eastAsia="es-AR" w:bidi="es-AR"/>
        </w:rPr>
      </w:pPr>
      <w:r>
        <w:rPr>
          <w:lang w:val="es-AR" w:eastAsia="es-AR" w:bidi="es-AR"/>
        </w:rPr>
        <w:t xml:space="preserve">Como argumento de fondo adicional, los codemandados controvierten que el capital accionario hubiera permanecido en cabeza de los causantes al tiempo del fallecimiento. Aducen que la transmisión ya se habría producido con anterioridad, y apoyan esa tesis en constancias societarias y en el régimen legal de las acciones al portador, destacando que, en ese supuesto, la transferencia se perfecciona con la tradición y entrega del título, sin necesidad de formalidades suplementarias. Desde esa perspectiva, sostienen que la actora carecería de base fáctica para afirmar la integración hereditaria del paquete accionario que invoca y, por ende, para reclamar derechos derivados de una condición societaria que no demostraría.</w:t>
      </w:r>
    </w:p>
    <w:p>
      <w:pPr>
        <w:pStyle w:val="[Normal]"/>
        <w:spacing w:line="360" w:lineRule="auto"/>
        <w:ind w:firstLine="1134"/>
        <w:jc w:val="both"/>
        <w:rPr>
          <w:lang w:val="es-AR" w:eastAsia="es-AR" w:bidi="es-AR"/>
        </w:rPr>
      </w:pPr>
      <w:r>
        <w:rPr>
          <w:lang w:val="es-AR" w:eastAsia="es-AR" w:bidi="es-AR"/>
        </w:rPr>
        <w:t xml:space="preserve">Por su parte, en la contestación formulada por la escribana demandada </w:t>
      </w:r>
      <w:r>
        <w:rPr>
          <w:rStyle w:val="STRONG"/>
          <w:b w:val="off"/>
          <w:lang w:val="es-AR" w:eastAsia="es-AR" w:bidi="es-AR"/>
        </w:rPr>
        <w:t xml:space="preserve">María Marcela Otermin</w:t>
      </w:r>
      <w:r>
        <w:rPr>
          <w:lang w:val="es-AR" w:eastAsia="es-AR" w:bidi="es-AR"/>
        </w:rPr>
        <w:t xml:space="preserve">, el planteo defensivo se centra en la improcedencia del reproche dirigido a su actuación profesional. </w:t>
      </w:r>
    </w:p>
    <w:p>
      <w:pPr>
        <w:pStyle w:val="[Normal]"/>
        <w:spacing w:line="360" w:lineRule="auto"/>
        <w:ind w:firstLine="1134"/>
        <w:jc w:val="both"/>
        <w:rPr>
          <w:lang w:val="es-AR" w:eastAsia="es-AR" w:bidi="es-AR"/>
        </w:rPr>
      </w:pPr>
      <w:r>
        <w:rPr>
          <w:lang w:val="es-AR" w:eastAsia="es-AR" w:bidi="es-AR"/>
        </w:rPr>
        <w:t xml:space="preserve">Frente a tal embate, expone que la función notarial exige control de legalidad formal del instrumento y verificación de extremos documentales y representativos, pero no impone al escribano un juicio de legitimidad sustancial sobre la relación interna entre los otorgantes, salvo supuestos específicos previstos por la ley. </w:t>
      </w:r>
    </w:p>
    <w:p>
      <w:pPr>
        <w:pStyle w:val="[Normal]"/>
        <w:spacing w:line="360" w:lineRule="auto"/>
        <w:ind w:firstLine="1134"/>
        <w:jc w:val="both"/>
        <w:rPr>
          <w:lang w:val="es-AR" w:eastAsia="es-AR" w:bidi="es-AR"/>
        </w:rPr>
      </w:pPr>
      <w:r>
        <w:rPr>
          <w:lang w:val="es-AR" w:eastAsia="es-AR" w:bidi="es-AR"/>
        </w:rPr>
        <w:t xml:space="preserve">Afirma que identificó a las partes, examinó la documentación, verificó la representación y la legitimación invocada por quien compareció por la sociedad, y que no se le puede exigir una fiscalización societaria “ex post” ajena a su ministerio.</w:t>
      </w:r>
    </w:p>
    <w:p>
      <w:pPr>
        <w:pStyle w:val="[Normal]"/>
        <w:spacing w:line="360" w:lineRule="auto"/>
        <w:ind w:firstLine="1134"/>
        <w:jc w:val="both"/>
        <w:rPr>
          <w:lang w:val="es-AR" w:eastAsia="es-AR" w:bidi="es-AR"/>
        </w:rPr>
      </w:pPr>
      <w:r>
        <w:rPr>
          <w:lang w:val="es-AR" w:eastAsia="es-AR" w:bidi="es-AR"/>
        </w:rPr>
        <w:t xml:space="preserve">También objeta la ausencia de demostración de daño cierto y de relación causal atribuible a su intervención, destacando que la actora no acreditó los presupuestos típicos de la responsabilidad civil y que, incluso, desistió de una prueba que considera relevante para esclarecer los hechos (absolución de posiciones). Añade que tuvo a la vista documentación societaria y libros vinculados a la sociedad que, según su exposición, daban cuenta del cumplimiento estatutario invocado por la contraria, por lo que no habría existido impedimento notarial para instrumentar las escrituras cuestionadas. En función de todo ello, solicita que se rechacen los agravios y se confirme la sentencia, con costas a la recurrente.</w:t>
      </w:r>
    </w:p>
    <w:p>
      <w:pPr>
        <w:pStyle w:val="[Normal]"/>
        <w:spacing w:line="360" w:lineRule="auto"/>
        <w:ind w:firstLine="1134"/>
        <w:jc w:val="both"/>
        <w:rPr>
          <w:lang w:val="es-AR" w:eastAsia="es-AR" w:bidi="es-AR"/>
        </w:rPr>
      </w:pPr>
      <w:r>
        <w:rPr>
          <w:lang w:val="es-AR" w:eastAsia="es-AR" w:bidi="es-AR"/>
        </w:rPr>
        <w:t xml:space="preserve">Entrando a resolver, la cuestión sometida a revisión consiste en determinar, con carácter previo y dirimente, si la actora se halla jurídicamente legitimada para promover las acciones deducidas en su calidad invocada de heredera y presunta continuadora del estatus de socia respecto de las acciones de La Raquelita S.C.A. -esto es, si la falta de denuncia del bien en el sucesorio y/o de registración societaria a su nombre constituye un impedimento suficiente para clausurar el conocimiento del fondo- y, en caso de admitirse esa legitimación, si corresponde abrir el examen de los planteos sustanciales (existencia o inexistencia de la transmisión accionaria alegada por la demandada, validez y oponibilidad de los actos instrumentados, eventual simulación o fraude denunciados y, en su caso, la responsabilidad atribuida a la escribana), con la consecuente revisión de costas.</w:t>
      </w:r>
    </w:p>
    <w:p>
      <w:pPr>
        <w:pStyle w:val="[Normal]"/>
        <w:spacing w:line="360" w:lineRule="auto"/>
        <w:ind w:firstLine="1134"/>
        <w:jc w:val="both"/>
        <w:rPr>
          <w:lang w:val="es-AR" w:eastAsia="es-AR" w:bidi="es-AR"/>
        </w:rPr>
      </w:pPr>
      <w:r>
        <w:rPr>
          <w:lang w:val="es-AR" w:eastAsia="es-AR" w:bidi="es-AR"/>
        </w:rPr>
        <w:t xml:space="preserve">Bajo este marco, la metodología de análisis deberá organizarse como un control escalonado de presupuestos, lo cual exige en primer término identificar el encuadre jurídico del planteo liminar, distinguiendo la titularidad sustancial invocada (posición hereditaria sobre acciones) de los requisitos de oponibilidad/registración frente a la sociedad y terceros; en segundo lugar, corresponderá fijar el estándar de revisión propio de la alzada respecto de un rechazo in limine por falta de legitimación (si corresponde una valoración estricta por su efecto clausurante y qué grado de prueba es exigible en esta etapa), ponderando si existe “círculo vicioso” o rigorismo que afecte la tutela judicial efectiva; y, sobre tales premisas, decidir si se confirma el rechazo por falta de legitimación o si se revoca para habilitar el conocimiento del fondo, delimitando entonces el alcance del reenvío.</w:t>
      </w:r>
    </w:p>
    <w:p>
      <w:pPr>
        <w:pStyle w:val="[Normal]"/>
        <w:spacing w:line="360" w:lineRule="auto"/>
        <w:ind w:firstLine="1134"/>
        <w:jc w:val="both"/>
        <w:rPr>
          <w:lang w:val="es-AR" w:eastAsia="es-AR" w:bidi="es-AR"/>
        </w:rPr>
      </w:pPr>
      <w:r>
        <w:rPr>
          <w:lang w:val="es-AR" w:eastAsia="es-AR" w:bidi="es-AR"/>
        </w:rPr>
        <w:t xml:space="preserve">Aclarado el objeto del recurso y fijada la secuencia metodológica de abordaje, corresponde precisar el alcance del examen que en esta etapa compete a la alzada. En efecto, tratándose de una decisión que clausura el proceso por vía de un rechazo in limine, la revisión debe concentrarse, antes que nada, en la corrección del encuadre adoptado por el juez de grado: esto es, si lo resuelto como cuestión liminar constituye realmente un presupuesto procesal o sustancial verificable de modo inmediato, o si, por el contrario, remite a una controversia cuya dilucidación exige debate, contradicción y valoración probatoria propia del pronunciamiento de mérito. Desde esa perspectiva, recién puede evaluarse si la “falta de legitimación” fue afirmada a partir de un dato manifiesto e incontrovertible, o si se apoyó en la aceptación -anticipada- de una versión fáctica y jurídica que integra el núcleo del litigio.</w:t>
      </w:r>
    </w:p>
    <w:p>
      <w:pPr>
        <w:pStyle w:val="[Normal]"/>
        <w:spacing w:line="360" w:lineRule="auto"/>
        <w:ind w:firstLine="1134"/>
        <w:jc w:val="both"/>
        <w:rPr>
          <w:lang w:val="es-AR" w:eastAsia="es-AR" w:bidi="es-AR"/>
        </w:rPr>
      </w:pPr>
      <w:r>
        <w:rPr>
          <w:lang w:val="es-AR" w:eastAsia="es-AR" w:bidi="es-AR"/>
        </w:rPr>
        <w:t xml:space="preserve">Sentado ello, estoy en condiciones de afirmar que el eje del control de alzada no radica todavía en decidir quién fue -o no- titular del paquete accionario ni si la transmisión invocada por los demandados existió, fue válida o eficaz, sino en verificar si el a quo podía resolver esa controversia sustancial bajo el rótulo de </w:t>
      </w:r>
      <w:r>
        <w:rPr>
          <w:i/>
          <w:lang w:val="es-AR" w:eastAsia="es-AR" w:bidi="es-AR"/>
        </w:rPr>
        <w:t xml:space="preserve">“legitimación”</w:t>
      </w:r>
      <w:r>
        <w:rPr>
          <w:lang w:val="es-AR" w:eastAsia="es-AR" w:bidi="es-AR"/>
        </w:rPr>
        <w:t xml:space="preserve">, y con efecto expulsivo, sin atravesar el debate contradictorio propio del mérito. </w:t>
      </w:r>
    </w:p>
    <w:p>
      <w:pPr>
        <w:pStyle w:val="[Normal]"/>
        <w:spacing w:line="360" w:lineRule="auto"/>
        <w:ind w:firstLine="1134"/>
        <w:jc w:val="both"/>
        <w:rPr>
          <w:lang w:val="es-AR" w:eastAsia="es-AR" w:bidi="es-AR"/>
        </w:rPr>
      </w:pPr>
      <w:r>
        <w:rPr>
          <w:lang w:val="es-AR" w:eastAsia="es-AR" w:bidi="es-AR"/>
        </w:rPr>
        <w:t xml:space="preserve">No es ocioso recordar aquí que este Tribunal ya ha sostenido que la legitimación se relaciona con la titularidad del interés que es materia del litigio.  Consiste en una cualidad emanada de la ley que faculta a requerir una sentencia respecto del objeto litigioso, es decir, que se resuelva sobre las peticiones formuladas en la demanda, por medio de la sentencia favorable o desfavorable.  Se trata, pues, de una condición necesaria para poder pronunciarse sobre el fondo o mérito de la cuestión (Cf. Cámara de Apelaciones en lo Civil y Comercial de Pergamino, causa N° </w:t>
      </w:r>
      <w:r>
        <w:rPr>
          <w:color w:val="000000"/>
          <w:lang w:val="es-AR" w:eastAsia="es-AR" w:bidi="es-AR"/>
        </w:rPr>
        <w:t xml:space="preserve">3319-18</w:t>
      </w:r>
      <w:r>
        <w:rPr>
          <w:lang w:val="es-AR" w:eastAsia="es-AR" w:bidi="es-AR"/>
        </w:rPr>
        <w:t xml:space="preserve">, res. 23/10/2018). </w:t>
      </w:r>
    </w:p>
    <w:p>
      <w:pPr>
        <w:pStyle w:val="[Normal]"/>
        <w:spacing w:line="360" w:lineRule="auto"/>
        <w:ind w:firstLine="1134"/>
        <w:jc w:val="both"/>
        <w:rPr>
          <w:lang w:val="es-AR" w:eastAsia="es-AR" w:bidi="es-AR"/>
        </w:rPr>
      </w:pPr>
      <w:r>
        <w:rPr>
          <w:lang w:val="es-AR" w:eastAsia="es-AR" w:bidi="es-AR"/>
        </w:rPr>
        <w:t xml:space="preserve">Por consiguiente, cuando una de las partes carece de esa calidad no será posible tomar una decisión sobre el fondo, y el juez deberá limitarse a declarar que se halla inhibido para hacerlo. Se trata sólo de una condición necesaria para poder dictar la sentencia de fondo.</w:t>
      </w:r>
    </w:p>
    <w:p>
      <w:pPr>
        <w:pStyle w:val="[Normal]"/>
        <w:spacing w:line="360" w:lineRule="auto"/>
        <w:ind w:firstLine="1134"/>
        <w:jc w:val="both"/>
        <w:rPr>
          <w:lang w:val="es-AR" w:eastAsia="es-AR" w:bidi="es-AR"/>
        </w:rPr>
      </w:pPr>
      <w:r>
        <w:rPr>
          <w:lang w:val="es-AR" w:eastAsia="es-AR" w:bidi="es-AR"/>
        </w:rPr>
        <w:t xml:space="preserve">En este sentido existe falta de legitimación cuando el litigante no es la persona que la ley sustancial habilita para asumir dicha calidad con referencia a la concreta materia sobre la cual versa el litigio.  Es decir, la legitimación se vincula con la identidad que debe haber entre la persona que intervino en el proceso y el sujeto de la relación jurídica controvertida.</w:t>
      </w:r>
    </w:p>
    <w:p>
      <w:pPr>
        <w:pStyle w:val="[Normal]"/>
        <w:spacing w:line="360" w:lineRule="auto"/>
        <w:ind w:firstLine="1134"/>
        <w:jc w:val="both"/>
        <w:rPr>
          <w:lang w:val="es-AR" w:eastAsia="es-AR" w:bidi="es-AR"/>
        </w:rPr>
      </w:pPr>
      <w:r>
        <w:rPr>
          <w:lang w:val="es-AR" w:eastAsia="es-AR" w:bidi="es-AR"/>
        </w:rPr>
        <w:t xml:space="preserve">En el caso, la sentencia del 9/9/2025 admite la excepción de falta de legitimación activa sobre una premisa que, por su naturaleza, coincide con el núcleo del litigio: que, a la fecha de fallecimiento del causante (31/8/1990), éste ya no era accionista de LA RAQUELITA S.C.A., por haberse desprendido del capital accionario en 1988. </w:t>
      </w:r>
    </w:p>
    <w:p>
      <w:pPr>
        <w:pStyle w:val="[Normal]"/>
        <w:spacing w:line="360" w:lineRule="auto"/>
        <w:ind w:firstLine="1134"/>
        <w:jc w:val="both"/>
        <w:rPr>
          <w:lang w:val="es-AR" w:eastAsia="es-AR" w:bidi="es-AR"/>
        </w:rPr>
      </w:pPr>
      <w:r>
        <w:rPr>
          <w:lang w:val="es-AR" w:eastAsia="es-AR" w:bidi="es-AR"/>
        </w:rPr>
        <w:t xml:space="preserve">Para arribar a esa conclusión, el juez se apoya, entre otros elementos, en registros societarios </w:t>
      </w:r>
      <w:r>
        <w:rPr>
          <w:i/>
          <w:lang w:val="es-AR" w:eastAsia="es-AR" w:bidi="es-AR"/>
        </w:rPr>
        <w:t xml:space="preserve">“adjuntos a la P.E. del 21/09/23”</w:t>
      </w:r>
      <w:r>
        <w:rPr>
          <w:lang w:val="es-AR" w:eastAsia="es-AR" w:bidi="es-AR"/>
        </w:rPr>
        <w:t xml:space="preserve">, destacando que el registro de accionistas </w:t>
      </w:r>
      <w:r>
        <w:rPr>
          <w:i/>
          <w:lang w:val="es-AR" w:eastAsia="es-AR" w:bidi="es-AR"/>
        </w:rPr>
        <w:t xml:space="preserve">“foliado y rubricado”</w:t>
      </w:r>
      <w:r>
        <w:rPr>
          <w:lang w:val="es-AR" w:eastAsia="es-AR" w:bidi="es-AR"/>
        </w:rPr>
        <w:t xml:space="preserve"> consigna con fecha 7/6/1988 como accionistas a Alfredo Tomás Sinelli y Silvia Liliana Fernández, y además invoca el régimen de las acciones al portador y su tradición como modo de transmisión. </w:t>
      </w:r>
    </w:p>
    <w:p>
      <w:pPr>
        <w:pStyle w:val="[Normal]"/>
        <w:spacing w:line="360" w:lineRule="auto"/>
        <w:ind w:firstLine="1134"/>
        <w:jc w:val="both"/>
        <w:rPr>
          <w:lang w:val="es-AR" w:eastAsia="es-AR" w:bidi="es-AR"/>
        </w:rPr>
      </w:pPr>
      <w:r>
        <w:rPr>
          <w:lang w:val="es-AR" w:eastAsia="es-AR" w:bidi="es-AR"/>
        </w:rPr>
        <w:t xml:space="preserve">Esa construcción, aun cuando pudiera ser atendible como hipótesis de mérito, no opera como dato manifiesto e incontrovertible de ausencia de legitimación, porque justamente es lo que la actora discute en su demanda y en sus agravios, atribuyendo a tales constancias el carácter de apariencia o montaje instrumental y denunciando fraude.</w:t>
      </w:r>
    </w:p>
    <w:p>
      <w:pPr>
        <w:pStyle w:val="[Normal]"/>
        <w:spacing w:line="360" w:lineRule="auto"/>
        <w:ind w:firstLine="1134"/>
        <w:jc w:val="both"/>
        <w:rPr>
          <w:lang w:val="es-AR" w:eastAsia="es-AR" w:bidi="es-AR"/>
        </w:rPr>
      </w:pPr>
      <w:r>
        <w:rPr>
          <w:lang w:val="es-AR" w:eastAsia="es-AR" w:bidi="es-AR"/>
        </w:rPr>
        <w:t xml:space="preserve">En ese marco, la crítica recursiva pone de relieve que el a quo exigió, como recaudo previo, la denuncia del bien en el sucesorio y/o la inscripción en registros societarios para reconocerle aptitud accionatoria, y reprocha que esa exigencia, en el contexto alegado de resistencia del grupo demandado y de cuestionamiento del título, conduce a un formalismo estéril: se le niega la vía judicial para dilucidar el derecho con el argumento de que no puede acreditar un estatus cuya obtención depende, precisamente, de que el derecho sea previamente esclarecido. </w:t>
      </w:r>
    </w:p>
    <w:p>
      <w:pPr>
        <w:pStyle w:val="[Normal]"/>
        <w:spacing w:line="360" w:lineRule="auto"/>
        <w:ind w:firstLine="1134"/>
        <w:jc w:val="both"/>
        <w:rPr>
          <w:lang w:val="es-AR" w:eastAsia="es-AR" w:bidi="es-AR"/>
        </w:rPr>
      </w:pPr>
      <w:r>
        <w:rPr>
          <w:lang w:val="es-AR" w:eastAsia="es-AR" w:bidi="es-AR"/>
        </w:rPr>
        <w:t xml:space="preserve">Este tipo de cierre prematuro entra en tensión con el derecho a la defensa en juicio y con el deber de asegurar una tutela judicial efectiva (art. 18 y 75 inc. 22 de la CN), que impone evitar que requisitos instrumentales se conviertan, sin necesidad y sin proporcionalidad, en una barrera para discutir derechos sustanciales.</w:t>
      </w:r>
    </w:p>
    <w:p>
      <w:pPr>
        <w:pStyle w:val="[Normal]"/>
        <w:spacing w:line="360" w:lineRule="auto"/>
        <w:ind w:firstLine="1134"/>
        <w:jc w:val="both"/>
        <w:rPr>
          <w:lang w:val="es-AR" w:eastAsia="es-AR" w:bidi="es-AR"/>
        </w:rPr>
      </w:pPr>
      <w:r>
        <w:rPr>
          <w:lang w:val="es-AR" w:eastAsia="es-AR" w:bidi="es-AR"/>
        </w:rPr>
        <w:t xml:space="preserve">Es importante tener en cuenta -y hete aquí el germen de muchas confusiones procesales- que la legitimación en la causa no coincide necesariamente con la titularidad del derecho material. Como dice el Dr. Enrique Vescovi, se trata de cosas diferentes, aunque la legitimación en la causa pueda fundarse en la titularidad del derecho, cuya pretensión se deduce en juicio mediante la demanda; hay también supuestos en que no existe tal coincidencia (Cf. VESCOVI, Enrique, Derecho Procesal Civil, Ed. Idea, Montevideo, 1974, tomo II, pág- 163/164).</w:t>
      </w:r>
    </w:p>
    <w:p>
      <w:pPr>
        <w:pStyle w:val="[Normal]"/>
        <w:spacing w:line="360" w:lineRule="auto"/>
        <w:ind w:firstLine="1134"/>
        <w:jc w:val="both"/>
        <w:rPr>
          <w:lang w:val="es-AR" w:eastAsia="es-AR" w:bidi="es-AR"/>
        </w:rPr>
      </w:pPr>
      <w:r>
        <w:rPr>
          <w:lang w:val="es-AR" w:eastAsia="es-AR" w:bidi="es-AR"/>
        </w:rPr>
        <w:t xml:space="preserve">En esta tónica, la Sala L de la Cámara Nacional Civil ha resuelto que: </w:t>
      </w:r>
      <w:r>
        <w:rPr>
          <w:i/>
          <w:lang w:val="es-AR" w:eastAsia="es-AR" w:bidi="es-AR"/>
        </w:rPr>
        <w:t xml:space="preserve">"A través de la excepción de legitimación para obrar, sólo cabe analizar si quien actúa es, en principio y para el caso, la persona a quien la ley habilita para ello, y por tal razón, estar legitimado en la causa significa tener derecho a que se resuelva sobre las peticiones formuladas en la demanda, ya sea en sentido favorable o desfavorable, es decir, sobre la existencia o no del derecho material pretendido, pues se trata de una condición necesaria para poder dictar la sentencia de fondo" </w:t>
      </w:r>
      <w:r>
        <w:rPr>
          <w:lang w:val="es-AR" w:eastAsia="es-AR" w:bidi="es-AR"/>
        </w:rPr>
        <w:t xml:space="preserve">(cf. CNCiv, sala L, 28/2/94, E.D. 163-320).</w:t>
      </w:r>
    </w:p>
    <w:p>
      <w:pPr>
        <w:pStyle w:val="[Normal]"/>
        <w:spacing w:line="360" w:lineRule="auto"/>
        <w:ind w:firstLine="1134"/>
        <w:jc w:val="both"/>
        <w:rPr>
          <w:lang w:val="es-AR" w:eastAsia="es-AR" w:bidi="es-AR"/>
        </w:rPr>
      </w:pPr>
      <w:r>
        <w:rPr>
          <w:lang w:val="es-AR" w:eastAsia="es-AR" w:bidi="es-AR"/>
        </w:rPr>
        <w:t xml:space="preserve">En  similar sentido, la Sala I de la Cámara Segunda de Apelaciones en lo Civil y Comercial de La Plata ha sostenido que: </w:t>
      </w:r>
      <w:r>
        <w:rPr>
          <w:i/>
          <w:lang w:val="es-AR" w:eastAsia="es-AR" w:bidi="es-AR"/>
        </w:rPr>
        <w:t xml:space="preserve">"el derecho a poner en actividad la jurisdicción y a obtener el pronunciamiento de la sentencia que resuelva la litis no pertenece solamente al titular del derecho material"</w:t>
      </w:r>
      <w:r>
        <w:rPr>
          <w:lang w:val="es-AR" w:eastAsia="es-AR" w:bidi="es-AR"/>
        </w:rPr>
        <w:t xml:space="preserve"> (C2° CCom,. de La Plata, Sala I, 22/10/95, L.L.B.A., 1997-454).</w:t>
      </w:r>
    </w:p>
    <w:p>
      <w:pPr>
        <w:pStyle w:val="[Normal]"/>
        <w:spacing w:line="360" w:lineRule="auto"/>
        <w:ind w:firstLine="1134"/>
        <w:jc w:val="both"/>
        <w:rPr>
          <w:lang w:val="es-AR" w:eastAsia="es-AR" w:bidi="es-AR"/>
        </w:rPr>
      </w:pPr>
      <w:r>
        <w:rPr>
          <w:lang w:val="es-AR" w:eastAsia="es-AR" w:bidi="es-AR"/>
        </w:rPr>
        <w:t xml:space="preserve">En suma, y aquí reside el núcleo de la confusión que suele conducir a decisiones clausurantes como la apelada, la legitimación en la causa no constituye un juicio anticipado sobre la titularidad del derecho material, sino la verificación de que quien acciona es, en principio y para el caso, una persona jurídicamente habilitada para poner en movimiento la jurisdicción y obtener un pronunciamiento sobre lo pretendido, sea favorable o adverso; de allí que no resulte exigible, como presupuesto de acceso, la demostración acabada del derecho invocado, pues ello equivale a convertir el control de legitimación en una sentencia encubierta sobre el mérito.</w:t>
      </w:r>
    </w:p>
    <w:p>
      <w:pPr>
        <w:pStyle w:val="[Normal]"/>
        <w:spacing w:line="360" w:lineRule="auto"/>
        <w:ind w:firstLine="1134"/>
        <w:jc w:val="both"/>
        <w:rPr>
          <w:lang w:val="es-AR" w:eastAsia="es-AR" w:bidi="es-AR"/>
        </w:rPr>
      </w:pPr>
      <w:r>
        <w:rPr>
          <w:lang w:val="es-AR" w:eastAsia="es-AR" w:bidi="es-AR"/>
        </w:rPr>
        <w:t xml:space="preserve">La pauta decisiva, entonces, es que la legitimación activa debe ser apreciada con un criterio compatible con la naturaleza del planteo: la actora invoca su condición de heredera y sostiene que las acciones integraban el patrimonio del causante, cuestionando como simulada o fraudulenta la operación traslativa que los demandados oponen para excluirlas del acervo. </w:t>
      </w:r>
    </w:p>
    <w:p>
      <w:pPr>
        <w:pStyle w:val="[Normal]"/>
        <w:spacing w:line="360" w:lineRule="auto"/>
        <w:ind w:firstLine="1134"/>
        <w:jc w:val="both"/>
        <w:rPr>
          <w:lang w:val="es-AR" w:eastAsia="es-AR" w:bidi="es-AR"/>
        </w:rPr>
      </w:pPr>
      <w:r>
        <w:rPr>
          <w:lang w:val="es-AR" w:eastAsia="es-AR" w:bidi="es-AR"/>
        </w:rPr>
        <w:t xml:space="preserve">Esa plataforma, considerada </w:t>
      </w:r>
      <w:r>
        <w:rPr>
          <w:i/>
          <w:lang w:val="es-AR" w:eastAsia="es-AR" w:bidi="es-AR"/>
        </w:rPr>
        <w:t xml:space="preserve">prima facie</w:t>
      </w:r>
      <w:r>
        <w:rPr>
          <w:lang w:val="es-AR" w:eastAsia="es-AR" w:bidi="es-AR"/>
        </w:rPr>
        <w:t xml:space="preserve">, basta para atribuirle interés jurídico y aptitud para promover el contradictorio tendiente a esclarecer si el bien era o no hereditario y, en su caso, si los actos posteriores lesionaron la integridad del acervo o configuraron un supuesto de ilicitud. Resolver la inexistencia del derecho invocado por la actora como si fuese un mero presupuesto de legitimación, tomando por cierto el relato defensivo sobre la transmisión de 1988 importa un adelantamiento sobre el mérito y priva al proceso de su función propia: esclarecer, con debate y prueba, la verdad jurídica del caso.</w:t>
      </w:r>
    </w:p>
    <w:p>
      <w:pPr>
        <w:pStyle w:val="[Normal]"/>
        <w:spacing w:line="360" w:lineRule="auto"/>
        <w:ind w:firstLine="1134"/>
        <w:jc w:val="both"/>
        <w:rPr>
          <w:lang w:val="es-AR" w:eastAsia="es-AR" w:bidi="es-AR"/>
        </w:rPr>
      </w:pPr>
      <w:r>
        <w:rPr>
          <w:lang w:val="es-AR" w:eastAsia="es-AR" w:bidi="es-AR"/>
        </w:rPr>
        <w:t xml:space="preserve">La correlación con la tutela judicial efectiva es directa. El proceso no es un mero trámite formal, sino el cauce institucional para obtener una respuesta jurisdiccional motivada frente a un conflicto de derechos; por ello, los recaudos instrumentales y las categorías procesales no deben aplicarse de modo tal que se transformen en una barrera desproporcionada que impida discutir el fondo cuando la controversia lo exige (art. 18 CN; arts. 8 y 25 CADH). </w:t>
      </w:r>
    </w:p>
    <w:p>
      <w:pPr>
        <w:pStyle w:val="[Normal]"/>
        <w:spacing w:line="360" w:lineRule="auto"/>
        <w:ind w:firstLine="1134"/>
        <w:jc w:val="both"/>
        <w:rPr>
          <w:lang w:val="es-AR" w:eastAsia="es-AR" w:bidi="es-AR"/>
        </w:rPr>
      </w:pPr>
      <w:r>
        <w:rPr>
          <w:lang w:val="es-AR" w:eastAsia="es-AR" w:bidi="es-AR"/>
        </w:rPr>
        <w:t xml:space="preserve">En particular, si la exigencia de </w:t>
      </w:r>
      <w:r>
        <w:rPr>
          <w:i/>
          <w:lang w:val="es-AR" w:eastAsia="es-AR" w:bidi="es-AR"/>
        </w:rPr>
        <w:t xml:space="preserve">“regularización previa”</w:t>
      </w:r>
      <w:r>
        <w:rPr>
          <w:lang w:val="es-AR" w:eastAsia="es-AR" w:bidi="es-AR"/>
        </w:rPr>
        <w:t xml:space="preserve"> -denuncia sucesoria del bien o registración societaria- se convierte, según la plataforma alegada, en un círculo lógico (no se registra porque se desconoce el derecho y se desconoce el derecho porque no está registrado), la alzada debe examinar si la sentencia, al privilegiar esa formalidad, frustró indebidamente el acceso a una decisión sobre el mérito. Ese control no supone decidir ahora la titularidad final de las acciones, sino restituir al proceso su función: que esa titularidad, y la eventual ilicitud denunciada, se esclarezcan con la sentencia de mérito que resuelva el fondo de la controversia (arts. 34 y 163 CPCCBA; arts. 8 y 25 CADH).</w:t>
      </w:r>
    </w:p>
    <w:p>
      <w:pPr>
        <w:pStyle w:val="[Normal]"/>
        <w:spacing w:line="360" w:lineRule="auto"/>
        <w:ind w:firstLine="1134"/>
        <w:jc w:val="both"/>
        <w:rPr>
          <w:lang w:val="es-AR" w:eastAsia="es-AR" w:bidi="es-AR"/>
        </w:rPr>
      </w:pPr>
      <w:r>
        <w:rPr>
          <w:lang w:val="es-AR" w:eastAsia="es-AR" w:bidi="es-AR"/>
        </w:rPr>
        <w:t xml:space="preserve">Las contestaciones recursivas de los codemandados La Raquelita S.C.A., Alfredo Tomas Sinelli, Agromaquinarias del Norte S. A., Tomas Sinelli, Santiago Sinelli y </w:t>
      </w:r>
      <w:r>
        <w:rPr>
          <w:rStyle w:val="STRONG"/>
          <w:b w:val="off"/>
          <w:lang w:val="es-AR" w:eastAsia="es-AR" w:bidi="es-AR"/>
        </w:rPr>
        <w:t xml:space="preserve">Silvia Liliana Fernández</w:t>
      </w:r>
      <w:r>
        <w:rPr>
          <w:lang w:val="es-AR" w:eastAsia="es-AR" w:bidi="es-AR"/>
        </w:rPr>
        <w:t xml:space="preserve"> procuran sostener que el pronunciamiento no resolvió el mérito sino un presupuesto, afirmando que la actora carece de legitimación por no haber denunciado el bien en el sucesorio ni haber obtenido la registración societaria, y que sus agravios serían una mera disconformidad carente de crítica concreta. Sin embargo, esa lectura no supera el test de congruencia entre lo decidido y el efecto procesal desplegado: la sentencia puso fin al proceso por una vía expulsiva y lo hizo a partir de una premisa fáctico-jurídica que coincide con el corazón de la controversia (si existió y fue eficaz una transmisión accionaria previa al fallecimiento). De allí que no baste con reiterar, en la réplica, que la legitimación es </w:t>
      </w:r>
      <w:r>
        <w:rPr>
          <w:i/>
          <w:lang w:val="es-AR" w:eastAsia="es-AR" w:bidi="es-AR"/>
        </w:rPr>
        <w:t xml:space="preserve">“presupuesto sustancial”</w:t>
      </w:r>
      <w:r>
        <w:rPr>
          <w:lang w:val="es-AR" w:eastAsia="es-AR" w:bidi="es-AR"/>
        </w:rPr>
        <w:t xml:space="preserve">, pues precisamente lo discutido es si esa ausencia resultaba manifiesta o, por el contrario, dependía de decidir anticipadamente una cuestión de fondo. La alzada no está obligada a aceptar que todo lo que se rotule “legitimación” sea revisable como un mero presupuesto, cuando la propia motivación evidencia que el rechazo se apoya en la opción por una versión del negocio traslativo y por el valor decisivo de ciertas constancias, cuya fuerza probatoria está controvertida.</w:t>
      </w:r>
    </w:p>
    <w:p>
      <w:pPr>
        <w:pStyle w:val="[Normal]"/>
        <w:spacing w:line="360" w:lineRule="auto"/>
        <w:ind w:firstLine="1134"/>
        <w:jc w:val="both"/>
        <w:rPr>
          <w:lang w:val="es-AR" w:eastAsia="es-AR" w:bidi="es-AR"/>
        </w:rPr>
      </w:pPr>
      <w:r>
        <w:rPr>
          <w:lang w:val="es-AR" w:eastAsia="es-AR" w:bidi="es-AR"/>
        </w:rPr>
        <w:t xml:space="preserve">Tampoco es atendible la objeción de insuficiencia técnica de los agravios. La actora dirige su crítica al capítulo liminar, denuncia el círculo vicioso que -según su tesis- genera la exigencia de registración previa, cuestiona la valoración de las constancias societarias y plantea que el juez sustituyó el tratamiento del fondo por una decisión anticipada. Ese desarrollo basta para habilitar el control de alzada conforme el art. 260 CPCCBA, pues delimita con claridad el aspecto del fallo impugnado y la crítica concreta al razonamiento judicial. La respuesta de la contraria, en cambio, insiste en caracterizar el planteo como </w:t>
      </w:r>
      <w:r>
        <w:rPr>
          <w:i/>
          <w:lang w:val="es-AR" w:eastAsia="es-AR" w:bidi="es-AR"/>
        </w:rPr>
        <w:t xml:space="preserve">“mero disenso” </w:t>
      </w:r>
      <w:r>
        <w:rPr>
          <w:lang w:val="es-AR" w:eastAsia="es-AR" w:bidi="es-AR"/>
        </w:rPr>
        <w:t xml:space="preserve">sin confrontar el argumento central: que el rechazo in limine fue construido a partir de definir, como verdadera, la versión defensiva de una transferencia accionaria.</w:t>
      </w:r>
    </w:p>
    <w:p>
      <w:pPr>
        <w:pStyle w:val="[Normal]"/>
        <w:spacing w:line="360" w:lineRule="auto"/>
        <w:ind w:firstLine="1134"/>
        <w:jc w:val="both"/>
        <w:rPr>
          <w:lang w:val="es-AR" w:eastAsia="es-AR" w:bidi="es-AR"/>
        </w:rPr>
      </w:pPr>
      <w:r>
        <w:rPr>
          <w:lang w:val="es-AR" w:eastAsia="es-AR" w:bidi="es-AR"/>
        </w:rPr>
        <w:t xml:space="preserve">En relación con la tesis de que la actora no puede accionar sin previa denuncia sucesoria del bien, debe señalarse que se confunden planos conceptuales distintos. La denuncia en el sucesorio o las formalidades de inscripción inciden, en todo caso, en la regularización y oponibilidad frente a la sociedad y terceros, pero no necesariamente operan como requisito absoluto para habilitar el contradictorio cuando el objeto del litigio es, justamente, determinar si el bien integra o no el acervo y si la apariencia documental que lo excluye responde a un acto verdadero o a una maniobra. </w:t>
      </w:r>
    </w:p>
    <w:p>
      <w:pPr>
        <w:pStyle w:val="[Normal]"/>
        <w:spacing w:line="360" w:lineRule="auto"/>
        <w:ind w:firstLine="1134"/>
        <w:jc w:val="both"/>
        <w:rPr>
          <w:lang w:val="es-AR" w:eastAsia="es-AR" w:bidi="es-AR"/>
        </w:rPr>
      </w:pPr>
      <w:r>
        <w:rPr>
          <w:lang w:val="es-AR" w:eastAsia="es-AR" w:bidi="es-AR"/>
        </w:rPr>
        <w:t xml:space="preserve">En este punto, la contestación elude la problemática de tutela judicial efectiva: si se exige como condición de acceso un trámite cuya viabilidad depende de la aceptación previa del derecho discutido, se instaura una barrera desproporcionada que frustra la defensa en juicio (art. 18 CN; art. 15 Const. Pcia. Bs. As.; arts. 8 y 25 CADH). Por ello, aun cuando la regularización sucesoria sea deseable, no puede funcionar como llave exclusiva para abrir el debate cuando se invoca un derecho hereditario y se denuncia que el propio obrar de la contraria impide su reconocimiento extrajudicial.</w:t>
      </w:r>
    </w:p>
    <w:p>
      <w:pPr>
        <w:pStyle w:val="[Normal]"/>
        <w:spacing w:line="360" w:lineRule="auto"/>
        <w:ind w:firstLine="1134"/>
        <w:jc w:val="both"/>
        <w:rPr>
          <w:lang w:val="es-AR" w:eastAsia="es-AR" w:bidi="es-AR"/>
        </w:rPr>
      </w:pPr>
      <w:r>
        <w:rPr>
          <w:lang w:val="es-AR" w:eastAsia="es-AR" w:bidi="es-AR"/>
        </w:rPr>
        <w:t xml:space="preserve">Asimismo, el argumento defensivo de que las acciones al portador se transmiten por tradición y que, por ende, no se requiere instrumento firmado para probar la venta, no resuelve la cuestión en esta etapa: lo que impide el rechazo liminar no es una discusión dogmática sobre el modo de transmisión, sino la circunstancia de que la actora niega la existencia misma de la tradición y del acuerdo traslativo, impugna el valor de los asientos societarios y atribuye a la documentación exhibida el carácter de apariencia. La contestación pretende que la alzada dé por acreditados, sin más, hechos constitutivos (entrega de títulos, continuidad de la posesión, correlación económica de la operación), y con ello reedita el mismo problema metodológico: convertir la discusión probatoria de fondo en un presupuesto que excluye el contradictorio. Si la pretensión de la recurrente es desestimable, ello deberá surgir de un pronunciamiento de mérito tras la valoración integral de la prueba, no de un adelantamiento derivado de la sola invocación del régimen legal de acciones al portador.</w:t>
      </w:r>
    </w:p>
    <w:p>
      <w:pPr>
        <w:pStyle w:val="[Normal]"/>
        <w:spacing w:line="360" w:lineRule="auto"/>
        <w:ind w:firstLine="1134"/>
        <w:jc w:val="both"/>
        <w:rPr>
          <w:lang w:val="es-AR" w:eastAsia="es-AR" w:bidi="es-AR"/>
        </w:rPr>
      </w:pPr>
      <w:r>
        <w:rPr>
          <w:lang w:val="es-AR" w:eastAsia="es-AR" w:bidi="es-AR"/>
        </w:rPr>
        <w:t xml:space="preserve">Por último, en lo concerniente a la defensa de la escribana María M. Otamendi, las contestaciones procuran desplazar el reproche hacia un control notarial meramente formal y negar la relación causal y el daño. Sin perjuicio de la eventual suerte final de esa imputación, su tratamiento depende del mismo presupuesto previo: si el proceso se clausura por una falta de legitimación construida sobre hechos controvertidos, se priva a la actora de la posibilidad de discutir, con plenitud, el contexto negocial y documental en el que se instrumentaron los actos y, por ende, la extensión del control debido, la previsibilidad del riesgo y la eventual ilicitud denunciada. </w:t>
      </w:r>
    </w:p>
    <w:p>
      <w:pPr>
        <w:pStyle w:val="[Normal]"/>
        <w:spacing w:line="360" w:lineRule="auto"/>
        <w:ind w:firstLine="1134"/>
        <w:jc w:val="both"/>
        <w:rPr>
          <w:lang w:val="es-AR" w:eastAsia="es-AR" w:bidi="es-AR"/>
        </w:rPr>
      </w:pPr>
      <w:r>
        <w:rPr>
          <w:lang w:val="es-AR" w:eastAsia="es-AR" w:bidi="es-AR"/>
        </w:rPr>
        <w:t xml:space="preserve">La adecuada solución, entonces, no es convalidar la clausura liminar por la sola reiteración de defensas de fondo, sino habilitar el conocimiento integral del litigio, preservando la doble instancia y asegurando que las responsabilidades invocadas -sean societarias, civiles o profesionales- se decidan con fundamento suficiente (arts. 34 y 163 CPCCBA), a la luz del debate y la prueba pertinente.</w:t>
      </w:r>
    </w:p>
    <w:p>
      <w:pPr>
        <w:pStyle w:val="[Normal]"/>
        <w:spacing w:line="360" w:lineRule="auto"/>
        <w:ind w:firstLine="1134"/>
        <w:jc w:val="both"/>
        <w:rPr>
          <w:lang w:val="es-AR" w:eastAsia="es-AR" w:bidi="es-AR"/>
        </w:rPr>
      </w:pPr>
      <w:r>
        <w:rPr>
          <w:lang w:val="es-AR" w:eastAsia="es-AR" w:bidi="es-AR"/>
        </w:rPr>
        <w:t xml:space="preserve">Por ello, corresponde hacer lugar a la apelación en este aspecto, revocar la sentencia en cuanto admite la excepción de falta de legitimación activa y, en consecuencia, dejar sin efecto el rechazo de la demanda por ese motivo, ordenando la prosecución del trámite. </w:t>
      </w:r>
    </w:p>
    <w:p>
      <w:pPr>
        <w:pStyle w:val="[Normal]"/>
        <w:spacing w:line="360" w:lineRule="auto"/>
        <w:ind w:firstLine="1134"/>
        <w:jc w:val="both"/>
        <w:rPr>
          <w:lang w:val="es-AR" w:eastAsia="es-AR" w:bidi="es-AR"/>
        </w:rPr>
      </w:pPr>
      <w:r>
        <w:rPr>
          <w:lang w:val="es-AR" w:eastAsia="es-AR" w:bidi="es-AR"/>
        </w:rPr>
        <w:t xml:space="preserve">En cuanto a costas de la incidencia recursiva, al prosperar el recurso en el capítulo examinado, corresponde imponerlas a la parte apelada vencida (art. 68, CPCCBA)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Hacer lugar al recurso de apelación interpuesto por la parte actora, dejando sin efecto el pronunciamiento recurrido en cuanto hiciera lugar a la excepción de falta de legitimación activa, ordenando la prosecusión de la causa.- </w:t>
      </w:r>
    </w:p>
    <w:p>
      <w:pPr>
        <w:pStyle w:val="[Normal]"/>
        <w:spacing w:line="360" w:lineRule="auto"/>
        <w:ind w:firstLine="1134"/>
        <w:jc w:val="both"/>
        <w:rPr>
          <w:lang w:val="es-AR" w:eastAsia="es-AR" w:bidi="es-AR"/>
        </w:rPr>
      </w:pPr>
      <w:r>
        <w:rPr>
          <w:lang w:val="es-AR" w:eastAsia="es-AR" w:bidi="es-AR"/>
        </w:rPr>
        <w:t xml:space="preserve">2) En su mérito, y habiendo el Sr. Juez de grado adelantado opinión, la tramitación de las presentes actuaciones deberá continuar por ante el Juez Civil y Comercial que resulte sorteado por la receptoría general de expedientes departamental (conf. art. 17, inc. 7 del CPCC). Hágase saber lo aquí dispuesto al Juez de grado y a la Receptoría General de Expedientes para que de efectivo cumplimiento a lo ordenado.</w:t>
      </w:r>
    </w:p>
    <w:p>
      <w:pPr>
        <w:pStyle w:val="[Normal]"/>
        <w:spacing w:line="360" w:lineRule="auto"/>
        <w:ind w:firstLine="1134"/>
        <w:jc w:val="both"/>
        <w:rPr>
          <w:lang w:val="es-AR" w:eastAsia="es-AR" w:bidi="es-AR"/>
        </w:rPr>
      </w:pPr>
      <w:r>
        <w:rPr>
          <w:lang w:val="es-AR" w:eastAsia="es-AR" w:bidi="es-AR"/>
        </w:rPr>
        <w:t xml:space="preserve">3) Imponer las costas de Alzada a la parte demandada vencida (art. 68/9 del CPCC).</w:t>
      </w:r>
    </w:p>
    <w:p>
      <w:pPr>
        <w:pStyle w:val="[Normal]"/>
        <w:spacing w:line="360" w:lineRule="auto"/>
        <w:ind w:firstLine="1134"/>
        <w:jc w:val="both"/>
        <w:rPr>
          <w:lang w:val="es-AR" w:eastAsia="es-AR" w:bidi="es-AR"/>
        </w:rPr>
      </w:pPr>
      <w:r>
        <w:rPr>
          <w:lang w:val="es-AR" w:eastAsia="es-AR" w:bidi="es-AR"/>
        </w:rPr>
        <w:t xml:space="preserve">4) Readecuar las costas de primera instancia disponiendo que se establezcan en su totalidad sobre la parte demandada (art. 68/9 y 274 del CPCC).</w:t>
      </w:r>
    </w:p>
    <w:p>
      <w:pPr>
        <w:pStyle w:val="[Normal]"/>
        <w:spacing w:line="360" w:lineRule="auto"/>
        <w:ind w:firstLine="1134"/>
        <w:jc w:val="both"/>
        <w:rPr>
          <w:lang w:val="es-AR" w:eastAsia="es-AR" w:bidi="es-AR"/>
        </w:rPr>
      </w:pPr>
      <w:r>
        <w:rPr>
          <w:lang w:val="es-AR" w:eastAsia="es-AR" w:bidi="es-AR"/>
        </w:rPr>
        <w:t xml:space="preserve">5) Diferir la regulación de honorarios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Hacer lugar al recurso de apelación interpuesto por la parte actora, dejando sin efecto el pronunciamiento recurrido en cuanto hiciera lugar a la excepción de falta de legitimación activa, ordenando la prosecusión de la causa.</w:t>
      </w:r>
    </w:p>
    <w:p>
      <w:pPr>
        <w:pStyle w:val="[Normal]"/>
        <w:spacing w:line="360" w:lineRule="auto"/>
        <w:ind w:firstLine="1134"/>
        <w:jc w:val="both"/>
        <w:rPr>
          <w:lang w:val="es-AR" w:eastAsia="es-AR" w:bidi="es-AR"/>
        </w:rPr>
      </w:pPr>
      <w:r>
        <w:rPr>
          <w:lang w:val="es-AR" w:eastAsia="es-AR" w:bidi="es-AR"/>
        </w:rPr>
        <w:t xml:space="preserve">2) En su mérito, y habiendo el Sr. Juez de grado adelantado opinión, la tramitación de las presentes actuaciones deberá continuar por ante el Juez Civil y Comercial que resulte sorteado por la receptoría general de expedientes departamental (conf. art. 17, inc. 7 del CPCC). Hágase saber lo aquí dispuesto al Juez de grado y a la Receptoría General de Expedientes para que de efectivo cumplimiento a lo ordenado.</w:t>
      </w:r>
    </w:p>
    <w:p>
      <w:pPr>
        <w:pStyle w:val="[Normal]"/>
        <w:spacing w:line="360" w:lineRule="auto"/>
        <w:ind w:firstLine="1134"/>
        <w:jc w:val="both"/>
        <w:rPr>
          <w:lang w:val="es-AR" w:eastAsia="es-AR" w:bidi="es-AR"/>
        </w:rPr>
      </w:pPr>
      <w:r>
        <w:rPr>
          <w:lang w:val="es-AR" w:eastAsia="es-AR" w:bidi="es-AR"/>
        </w:rPr>
        <w:t xml:space="preserve">3) Imponer las costas de Alzada a la parte demandada vencida (art. 68/9 del CPCC).</w:t>
      </w:r>
    </w:p>
    <w:p>
      <w:pPr>
        <w:pStyle w:val="[Normal]"/>
        <w:spacing w:line="360" w:lineRule="auto"/>
        <w:ind w:firstLine="1134"/>
        <w:jc w:val="both"/>
        <w:rPr>
          <w:lang w:val="es-AR" w:eastAsia="es-AR" w:bidi="es-AR"/>
        </w:rPr>
      </w:pPr>
      <w:r>
        <w:rPr>
          <w:lang w:val="es-AR" w:eastAsia="es-AR" w:bidi="es-AR"/>
        </w:rPr>
        <w:t xml:space="preserve">4) Readecuar las costas de primera instancia disponiendo que se establezcan en su totalidad sobre la parte demandada (art. 68/9 y 274 del CPCC).</w:t>
      </w:r>
    </w:p>
    <w:p>
      <w:pPr>
        <w:pStyle w:val="[Normal]"/>
        <w:spacing w:line="360" w:lineRule="auto"/>
        <w:ind w:firstLine="1134"/>
        <w:jc w:val="both"/>
        <w:rPr>
          <w:lang w:val="es-AR" w:eastAsia="es-AR" w:bidi="es-AR"/>
        </w:rPr>
      </w:pPr>
      <w:r>
        <w:rPr>
          <w:lang w:val="es-AR" w:eastAsia="es-AR" w:bidi="es-AR"/>
        </w:rPr>
        <w:t xml:space="preserve">5) Diferir la regulación de honorarios para su oportunidad respectiva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20270341951@NOTIFICACIONES.SCBA.GOV.AR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20315420491@NOTIFICACIONES.SCBA.GOV.AR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27061798337@NOTIFICACIONES.SCBA.GOV.AR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24/02/2026 11:19:47 -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24/02/2026 11:35:02 -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24/02/2026 12:40:18 -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‰92")è&amp;ilvmŠ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251802090006737686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24/02/2026 12:40:47 hs. bajo el número RS-11-2026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