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5870-25</w:t>
      </w:r>
      <w:r>
        <w:rPr>
          <w:lang w:val="es-AR" w:eastAsia="es-AR" w:bidi="es-AR"/>
        </w:rPr>
        <w:t xml:space="preserve"> caratulada </w:t>
      </w:r>
      <w:r>
        <w:rPr>
          <w:b/>
          <w:lang w:val="es-AR" w:eastAsia="es-AR" w:bidi="es-AR"/>
        </w:rPr>
        <w:t xml:space="preserve">"</w:t>
      </w:r>
      <w:r>
        <w:rPr>
          <w:b/>
          <w:color w:val="000000"/>
          <w:lang w:val="es-AR" w:eastAsia="es-AR" w:bidi="es-AR"/>
        </w:rPr>
        <w:t xml:space="preserve">BOCQUIN LILIANA ESTHER C/ FARIA VALERIA FABIANA Y OTRO/A S/ IMPUGNACION DE TESTAMENTO</w:t>
      </w:r>
      <w:r>
        <w:rPr>
          <w:b/>
          <w:lang w:val="es-AR" w:eastAsia="es-AR" w:bidi="es-AR"/>
        </w:rPr>
        <w:t xml:space="preserve">"</w:t>
      </w:r>
      <w:r>
        <w:rPr>
          <w:lang w:val="es-AR" w:eastAsia="es-AR" w:bidi="es-AR"/>
        </w:rPr>
        <w:t xml:space="preserve">, Expte. </w:t>
      </w:r>
      <w:r>
        <w:rPr>
          <w:color w:val="000000"/>
          <w:lang w:val="es-AR" w:eastAsia="es-AR" w:bidi="es-AR"/>
        </w:rPr>
        <w:t xml:space="preserve">85.807</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lang w:val="es-AR" w:eastAsia="es-AR" w:bidi="es-AR"/>
        </w:rPr>
        <w:t xml:space="preserve">El Sr. Juez de la anterior instancia r</w:t>
      </w:r>
      <w:r>
        <w:rPr>
          <w:color w:val="000000"/>
          <w:lang w:val="es-AR" w:eastAsia="es-AR" w:bidi="es-AR"/>
        </w:rPr>
        <w:t xml:space="preserve">echazó la demanda de nulidad de testamento instaurada por la Sra. Liliana Ester Bocquin. Aplicó las costas a la parte actora y difirió la regulación de honorarios de  los  letrados intervinientes y de la perito hasta que se haya determinado la base para ello.</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21-8-2025 por la parte actora, concedido libremente el 25-8-2025.</w:t>
      </w:r>
    </w:p>
    <w:p>
      <w:pPr>
        <w:pStyle w:val="[Normal]"/>
        <w:spacing w:line="360" w:lineRule="auto"/>
        <w:ind w:firstLine="1134"/>
        <w:jc w:val="both"/>
        <w:rPr>
          <w:lang w:val="es-AR" w:eastAsia="es-AR" w:bidi="es-AR"/>
        </w:rPr>
      </w:pPr>
      <w:r>
        <w:rPr>
          <w:lang w:val="es-AR" w:eastAsia="es-AR" w:bidi="es-AR"/>
        </w:rPr>
        <w:t xml:space="preserve">Elevados los autos a esta Alzada con fecha 16-10-2025 se ordenó expresar agravios a la parte actora, quien el 26-10-2025 los fundó, cuyo trasladado fuera contestado por el demandado Isidoro Martín Ruiz Moreno el 6-11-2025 y por Valeria Fabiana Faria el 7-11-2025. El 11-11-2025 se dictó el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En sustento de su crítica recursiva, la parte actora refiere los siguientes puntos de agravio: </w:t>
      </w:r>
    </w:p>
    <w:p>
      <w:pPr>
        <w:pStyle w:val="[Normal]"/>
        <w:spacing w:line="360" w:lineRule="auto"/>
        <w:ind w:firstLine="1134"/>
        <w:jc w:val="both"/>
        <w:rPr>
          <w:lang w:val="es-AR" w:eastAsia="es-AR" w:bidi="es-AR"/>
        </w:rPr>
      </w:pPr>
      <w:r>
        <w:rPr>
          <w:lang w:val="es-AR" w:eastAsia="es-AR" w:bidi="es-AR"/>
        </w:rPr>
        <w:t xml:space="preserve">1) Agravio por omisión de valoración integral de la prueba sobre la incapacidad del testador. La actora sostiene que la sentencia desatiende evidencia que, por su proximidad temporal al otorgamiento del testamento y al fallecimiento, demostraría un cuadro psicofísico incompatible con </w:t>
      </w:r>
      <w:r>
        <w:rPr>
          <w:i/>
          <w:lang w:val="es-AR" w:eastAsia="es-AR" w:bidi="es-AR"/>
        </w:rPr>
        <w:t xml:space="preserve">“plena lucidez”</w:t>
      </w:r>
      <w:r>
        <w:rPr>
          <w:lang w:val="es-AR" w:eastAsia="es-AR" w:bidi="es-AR"/>
        </w:rPr>
        <w:t xml:space="preserve"> para testar. En particular, remarca la cercanía entre el acto (23/11/2019) y el deceso (23/12/2019) y la gravedad del estado de salud, apoyándose en la historia clínica y en testimonios que describen deterioro, desorientación y pérdida de memoria inmediata. </w:t>
      </w:r>
    </w:p>
    <w:p>
      <w:pPr>
        <w:pStyle w:val="[Normal]"/>
        <w:spacing w:line="360" w:lineRule="auto"/>
        <w:ind w:firstLine="1134"/>
        <w:jc w:val="both"/>
        <w:rPr>
          <w:lang w:val="es-AR" w:eastAsia="es-AR" w:bidi="es-AR"/>
        </w:rPr>
      </w:pPr>
      <w:r>
        <w:rPr>
          <w:lang w:val="es-AR" w:eastAsia="es-AR" w:bidi="es-AR"/>
        </w:rPr>
        <w:t xml:space="preserve">2) Agravio por indebida ponderación de la conducta de la heredera testamentaria: la apelante afirma que el a quo omitió considerar que la propia beneficiaria del testamento, al iniciar tras el fallecimiento un reclamo laboral/cablegráfico contra la actora por tareas de cuidado del causante, reconocería tácitamente la imposibilidad de éste de dirigir su persona y sus actos, y que quien asumía ese rol era la actora como pariente cercana. Añade que esa conducta sería además reveladora de mala fe al reclamar a la actora pese a conocer la existencia del testamento a su favor.</w:t>
      </w:r>
    </w:p>
    <w:p>
      <w:pPr>
        <w:pStyle w:val="[Normal]"/>
        <w:spacing w:line="360" w:lineRule="auto"/>
        <w:ind w:firstLine="1134"/>
        <w:jc w:val="both"/>
        <w:rPr>
          <w:lang w:val="es-AR" w:eastAsia="es-AR" w:bidi="es-AR"/>
        </w:rPr>
      </w:pPr>
      <w:r>
        <w:rPr>
          <w:lang w:val="es-AR" w:eastAsia="es-AR" w:bidi="es-AR"/>
        </w:rPr>
        <w:t xml:space="preserve">3) Agravio por falta de examen crítico del acto notarial y su contexto: la actora cuestiona la verosimilitud del testamento por escritura pública, alegando “graves dudas” sobre quién contactó al escribano, quién gestionó testigos y gastos, y cómo el causante habría expresado autónomamente su voluntad en ese estado. Señala, además, vínculos de dependencia y cercanía de los testigos con la beneficiaria y reputa improbable que el testador pudiera </w:t>
      </w:r>
      <w:r>
        <w:rPr>
          <w:i/>
          <w:lang w:val="es-AR" w:eastAsia="es-AR" w:bidi="es-AR"/>
        </w:rPr>
        <w:t xml:space="preserve">“dictar verbalmente”</w:t>
      </w:r>
      <w:r>
        <w:rPr>
          <w:lang w:val="es-AR" w:eastAsia="es-AR" w:bidi="es-AR"/>
        </w:rPr>
        <w:t xml:space="preserve"> con claridad y sano juicio, frente a los déficit que describe.</w:t>
      </w:r>
    </w:p>
    <w:p>
      <w:pPr>
        <w:pStyle w:val="[Normal]"/>
        <w:spacing w:line="360" w:lineRule="auto"/>
        <w:ind w:firstLine="1134"/>
        <w:jc w:val="both"/>
        <w:rPr>
          <w:lang w:val="es-AR" w:eastAsia="es-AR" w:bidi="es-AR"/>
        </w:rPr>
      </w:pPr>
      <w:r>
        <w:rPr>
          <w:lang w:val="es-AR" w:eastAsia="es-AR" w:bidi="es-AR"/>
        </w:rPr>
        <w:t xml:space="preserve">A su turno, el codemandado Isidoro Martín Ruiz Moreno evacua el traslado correspondiente a la apelación. Al respecto, puntualiza que la contestación parte de la premisa de que la sentencia debe confirmarse porque aplicó correctamente la presunción de capacidad (art. 31 CCyC) y porque el causante no tuvo restricciones en vida, de modo que la carga de probar la incapacidad al testar pesaba sobre la actora, sin que ésta lo haya logrado. </w:t>
      </w:r>
    </w:p>
    <w:p>
      <w:pPr>
        <w:pStyle w:val="[Normal]"/>
        <w:spacing w:line="360" w:lineRule="auto"/>
        <w:ind w:firstLine="1134"/>
        <w:jc w:val="both"/>
        <w:rPr>
          <w:lang w:val="es-AR" w:eastAsia="es-AR" w:bidi="es-AR"/>
        </w:rPr>
      </w:pPr>
      <w:r>
        <w:rPr>
          <w:lang w:val="es-AR" w:eastAsia="es-AR" w:bidi="es-AR"/>
        </w:rPr>
        <w:t xml:space="preserve">En este derrotero, afirma que las testimoniales invocadas por la apelante no son concluyentes y presentan disidencias, mientras que el médico tratante no refirió patología mental y el perito psiquiatra indicó que, con las historias clínicas, no había elementos para dictaminar sobre el estado psíquico en 2018-2019. </w:t>
      </w:r>
    </w:p>
    <w:p>
      <w:pPr>
        <w:pStyle w:val="[Normal]"/>
        <w:spacing w:line="360" w:lineRule="auto"/>
        <w:ind w:firstLine="1134"/>
        <w:jc w:val="both"/>
        <w:rPr>
          <w:lang w:val="es-AR" w:eastAsia="es-AR" w:bidi="es-AR"/>
        </w:rPr>
      </w:pPr>
      <w:r>
        <w:rPr>
          <w:lang w:val="es-AR" w:eastAsia="es-AR" w:bidi="es-AR"/>
        </w:rPr>
        <w:t xml:space="preserve">Agrega que el reclamo laboral citado es ajeno al escribano y desconocido por él; y que su actuación se ajustó a las reglas profesionales, pues realizó una apreciación directa y prudente de la lucidez y comprensión del otorgante, sin que exista prueba que desvirtúe esa convicción.</w:t>
      </w:r>
    </w:p>
    <w:p>
      <w:pPr>
        <w:pStyle w:val="[Normal]"/>
        <w:spacing w:line="360" w:lineRule="auto"/>
        <w:ind w:firstLine="1134"/>
        <w:jc w:val="both"/>
        <w:rPr>
          <w:lang w:val="es-AR" w:eastAsia="es-AR" w:bidi="es-AR"/>
        </w:rPr>
      </w:pPr>
      <w:r>
        <w:rPr>
          <w:lang w:val="es-AR" w:eastAsia="es-AR" w:bidi="es-AR"/>
        </w:rPr>
        <w:t xml:space="preserve">Por su parte, la codemandada Faria solicita el rechazo íntegro de la apelación y la confirmación de la sentencia que desestimó la impugnación, por entender que la actora no probó ni la incapacidad mental del testador ni un vicio de voluntad, y que lo contrario implicaría desconocer la última voluntad del causante plasmada en escritura pública. </w:t>
      </w:r>
    </w:p>
    <w:p>
      <w:pPr>
        <w:pStyle w:val="[Normal]"/>
        <w:spacing w:line="360" w:lineRule="auto"/>
        <w:ind w:firstLine="1134"/>
        <w:jc w:val="both"/>
        <w:rPr>
          <w:lang w:val="es-AR" w:eastAsia="es-AR" w:bidi="es-AR"/>
        </w:rPr>
      </w:pPr>
      <w:r>
        <w:rPr>
          <w:lang w:val="es-AR" w:eastAsia="es-AR" w:bidi="es-AR"/>
        </w:rPr>
        <w:t xml:space="preserve">Sostiene que los agravios sólo reiteran lo ya dicho en la demanda y no constituyen una crítica concreta y razonada, limitándose a disentir con lo resuelto, lo que -afirma- incumple la carga recursiva. Refiere que la prueba producida (fotos, video del cumpleaños de 92 años, testigos y pericias) demuestra que el Sr. Chavero estaba lúcido y orientado al momento de testar, y que el acto se celebró con libertad y discernimiento ante escribano y testigos. </w:t>
      </w:r>
    </w:p>
    <w:p>
      <w:pPr>
        <w:pStyle w:val="[Normal]"/>
        <w:spacing w:line="360" w:lineRule="auto"/>
        <w:ind w:firstLine="1134"/>
        <w:jc w:val="both"/>
        <w:rPr>
          <w:lang w:val="es-AR" w:eastAsia="es-AR" w:bidi="es-AR"/>
        </w:rPr>
      </w:pPr>
      <w:r>
        <w:rPr>
          <w:lang w:val="es-AR" w:eastAsia="es-AR" w:bidi="es-AR"/>
        </w:rPr>
        <w:t xml:space="preserve">Añade que la pericia psiquiátrica no halló elementos para peritar un deterioro psíquico en 2018-2019 y que el médico tratante no indicó desequilibrio mental o cognitivo, describiéndolo como un paciente que se desenvolvía normalmente. </w:t>
      </w:r>
    </w:p>
    <w:p>
      <w:pPr>
        <w:pStyle w:val="[Normal]"/>
        <w:spacing w:line="360" w:lineRule="auto"/>
        <w:ind w:firstLine="1134"/>
        <w:jc w:val="both"/>
        <w:rPr>
          <w:lang w:val="es-AR" w:eastAsia="es-AR" w:bidi="es-AR"/>
        </w:rPr>
      </w:pPr>
      <w:r>
        <w:rPr>
          <w:lang w:val="es-AR" w:eastAsia="es-AR" w:bidi="es-AR"/>
        </w:rPr>
        <w:t xml:space="preserve">Finalmente, niega la existencia de maniobras de captación o presiones que anulen la voluntad y pide confirmar el fallo con costas a la apelante.</w:t>
      </w:r>
    </w:p>
    <w:p>
      <w:pPr>
        <w:pStyle w:val="[Normal]"/>
        <w:spacing w:line="360" w:lineRule="auto"/>
        <w:ind w:firstLine="1134"/>
        <w:jc w:val="both"/>
        <w:rPr>
          <w:lang w:val="es-AR" w:eastAsia="es-AR" w:bidi="es-AR"/>
        </w:rPr>
      </w:pPr>
      <w:r>
        <w:rPr>
          <w:lang w:val="es-AR" w:eastAsia="es-AR" w:bidi="es-AR"/>
        </w:rPr>
        <w:t xml:space="preserve">Entrando a resolver, advierto que la cuestión sometida a revisión versa sobre la validez del testamento otorgado por el Sr. Mario Héctor Chavero. Y, en particular, se debate si el mismo ha sido otorgado con discernimiento suficiente en tanto componente esencial para la voluntariedad del acto.</w:t>
      </w:r>
    </w:p>
    <w:p>
      <w:pPr>
        <w:pStyle w:val="[Normal]"/>
        <w:spacing w:line="360" w:lineRule="auto"/>
        <w:ind w:firstLine="1134"/>
        <w:jc w:val="both"/>
        <w:rPr>
          <w:lang w:val="es-AR" w:eastAsia="es-AR" w:bidi="es-AR"/>
        </w:rPr>
      </w:pPr>
      <w:r>
        <w:rPr>
          <w:lang w:val="es-AR" w:eastAsia="es-AR" w:bidi="es-AR"/>
        </w:rPr>
        <w:t xml:space="preserve">Estudiada la causa, he de adentrarme en primer término respecto de la noción de la nulidad atinente al acto jurídico testamentario.</w:t>
      </w:r>
    </w:p>
    <w:p>
      <w:pPr>
        <w:pStyle w:val="[Normal]"/>
        <w:spacing w:line="360" w:lineRule="auto"/>
        <w:ind w:firstLine="1134"/>
        <w:jc w:val="both"/>
        <w:rPr>
          <w:lang w:val="es-AR" w:eastAsia="es-AR" w:bidi="es-AR"/>
        </w:rPr>
      </w:pPr>
      <w:r>
        <w:rPr>
          <w:lang w:val="es-AR" w:eastAsia="es-AR" w:bidi="es-AR"/>
        </w:rPr>
        <w:t xml:space="preserve">Conceptualizo, en tal aspecto, a la  nulidad con una naturaleza de sanción legal, a partir de la cual los actos pierden sus efectos propios. Al respecto, Borda la define como </w:t>
      </w:r>
      <w:r>
        <w:rPr>
          <w:i/>
          <w:lang w:val="es-AR" w:eastAsia="es-AR" w:bidi="es-AR"/>
        </w:rPr>
        <w:t xml:space="preserve">"la sanción legal que  priva de  sus  efectos  normales  a  un  acto jurídico, en virtud  de una causa originaria, es decir, existente al momento de su celebración"</w:t>
      </w:r>
      <w:r>
        <w:rPr>
          <w:lang w:val="es-AR" w:eastAsia="es-AR" w:bidi="es-AR"/>
        </w:rPr>
        <w:t xml:space="preserve"> (Cfr autor citado, Parte General, II, nro. 1234).</w:t>
      </w:r>
    </w:p>
    <w:p>
      <w:pPr>
        <w:pStyle w:val="[Normal]"/>
        <w:spacing w:line="360" w:lineRule="auto"/>
        <w:ind w:firstLine="1134"/>
        <w:jc w:val="both"/>
        <w:rPr>
          <w:lang w:val="es-AR" w:eastAsia="es-AR" w:bidi="es-AR"/>
        </w:rPr>
      </w:pPr>
      <w:r>
        <w:rPr>
          <w:lang w:val="es-AR" w:eastAsia="es-AR" w:bidi="es-AR"/>
        </w:rPr>
        <w:t xml:space="preserve">Esto  me  lleva  necesariamente al abordaje de la  autonomía  de  la voluntad como esencia del acto jurídico. Al respecto, Ortolan señala que </w:t>
      </w:r>
      <w:r>
        <w:rPr>
          <w:i/>
          <w:lang w:val="es-AR" w:eastAsia="es-AR" w:bidi="es-AR"/>
        </w:rPr>
        <w:t xml:space="preserve">"Los  actos jurídicos llevan consigo necesariamente la noción de la intención y de la voluntad del hombre: este es el elemento espiritual del acto, mientras que la forma es su vestido exterior  y  su  expresión  física. Lo cual  prefigura  en  el  derecho  privado la función autoreguladorra de la  expresión  de  voluntad" </w:t>
      </w:r>
      <w:r>
        <w:rPr>
          <w:lang w:val="es-AR" w:eastAsia="es-AR" w:bidi="es-AR"/>
        </w:rPr>
        <w:t xml:space="preserve"> (Cfr Belluscio, Cód. Civil Comentado, T 4). </w:t>
      </w:r>
    </w:p>
    <w:p>
      <w:pPr>
        <w:pStyle w:val="[Normal]"/>
        <w:spacing w:line="360" w:lineRule="auto"/>
        <w:ind w:firstLine="1134"/>
        <w:jc w:val="both"/>
        <w:rPr>
          <w:lang w:val="es-AR" w:eastAsia="es-AR" w:bidi="es-AR"/>
        </w:rPr>
      </w:pPr>
      <w:r>
        <w:rPr>
          <w:lang w:val="es-AR" w:eastAsia="es-AR" w:bidi="es-AR"/>
        </w:rPr>
        <w:t xml:space="preserve">Siendo  los  elementos  constitutivos del acto la voluntad, (el contenido), el acto (en el sentido de la forma que traduce al mundo exterior la voluntad del sujeto) y la causa, según la definición del autor citado.</w:t>
      </w:r>
    </w:p>
    <w:p>
      <w:pPr>
        <w:pStyle w:val="[Normal]"/>
        <w:spacing w:line="360" w:lineRule="auto"/>
        <w:ind w:firstLine="1134"/>
        <w:jc w:val="both"/>
        <w:rPr>
          <w:lang w:val="es-AR" w:eastAsia="es-AR" w:bidi="es-AR"/>
        </w:rPr>
      </w:pPr>
      <w:r>
        <w:rPr>
          <w:lang w:val="es-AR" w:eastAsia="es-AR" w:bidi="es-AR"/>
        </w:rPr>
        <w:t xml:space="preserve">Especificando todavía más, aquí el quid normativo de la nulidad pretendida se apoya en el art. 2467 inc. c según el cual </w:t>
      </w:r>
      <w:r>
        <w:rPr>
          <w:i/>
          <w:lang w:val="es-AR" w:eastAsia="es-AR" w:bidi="es-AR"/>
        </w:rPr>
        <w:t xml:space="preserve">"Es nulo el testamento o, en su caso, disposición testamentaria (...) c) por haber sido otorgado por persona privada de la razón en el momento de testar. La falta de razón debe ser demostrada por quien impugna el acto"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 manera que la procedencia de la invalidez en este tipo de supuestos queda condicionada a la demostración de dos presupuestos fundamentales: 1) la privación de razón y 2) la subsistencia de dicho estado al momento de testar. Condiciones que, a tenor del propio articulado, integran la carga de la prueba que pesa sobre quien alega dicha causal.</w:t>
      </w:r>
    </w:p>
    <w:p>
      <w:pPr>
        <w:pStyle w:val="[Normal]"/>
        <w:spacing w:line="360" w:lineRule="auto"/>
        <w:ind w:firstLine="1134"/>
        <w:jc w:val="both"/>
        <w:rPr>
          <w:lang w:val="es-AR" w:eastAsia="es-AR" w:bidi="es-AR"/>
        </w:rPr>
      </w:pPr>
      <w:r>
        <w:rPr>
          <w:lang w:val="es-AR" w:eastAsia="es-AR" w:bidi="es-AR"/>
        </w:rPr>
        <w:t xml:space="preserve">I.- Sobre este piso de marcha, y ya ingresando al tratamiento del primer agravio, habré de referir que la actora denunció que la sentencia de grado habría incurrido en una omisión de valoración integral de la prueba atinente a la capacidad del testador, particularmente por no ponderar -según sostiene- la </w:t>
      </w:r>
      <w:r>
        <w:rPr>
          <w:i/>
          <w:lang w:val="es-AR" w:eastAsia="es-AR" w:bidi="es-AR"/>
        </w:rPr>
        <w:t xml:space="preserve">“proximidad temporal”</w:t>
      </w:r>
      <w:r>
        <w:rPr>
          <w:lang w:val="es-AR" w:eastAsia="es-AR" w:bidi="es-AR"/>
        </w:rPr>
        <w:t xml:space="preserve"> entre el otorgamiento del testamento (23/11/2019) y el fallecimiento (23/12/2019), junto con la gravedad del cuadro orgánico y relatos de desorientación y pérdida de memoria inmediata (con apoyo en historia clínica y testimonios). En su desarrollo recursivo enumera, como datos relevantes, diagnósticos y eventos clínicos próximos al acto (fibrilación auricular, insuficiencia cardíaca, hipertensión, disnea, edema, internaciones, deshidratación severa, vómitos y alta con deterioro general).</w:t>
      </w:r>
    </w:p>
    <w:p>
      <w:pPr>
        <w:pStyle w:val="[Normal]"/>
        <w:spacing w:line="360" w:lineRule="auto"/>
        <w:ind w:firstLine="1134"/>
        <w:jc w:val="both"/>
        <w:rPr>
          <w:lang w:val="es-AR" w:eastAsia="es-AR" w:bidi="es-AR"/>
        </w:rPr>
      </w:pPr>
      <w:r>
        <w:rPr>
          <w:lang w:val="es-AR" w:eastAsia="es-AR" w:bidi="es-AR"/>
        </w:rPr>
        <w:t xml:space="preserve">Planteado así, el agravio no puede quedar circunscripto a una crítica meramente retórica sobre la </w:t>
      </w:r>
      <w:r>
        <w:rPr>
          <w:i/>
          <w:lang w:val="es-AR" w:eastAsia="es-AR" w:bidi="es-AR"/>
        </w:rPr>
        <w:t xml:space="preserve">“integralidad”</w:t>
      </w:r>
      <w:r>
        <w:rPr>
          <w:lang w:val="es-AR" w:eastAsia="es-AR" w:bidi="es-AR"/>
        </w:rPr>
        <w:t xml:space="preserve"> de la ponderación, sino que exige verificar si el pronunciamiento omitió efectivamente considerar elementos conducentes y, en su caso, si esa eventual omisión tiene entidad para alterar el resultado, a la luz del estándar probatorio propio de la impugnación por incapacidad al tiempo de testar. </w:t>
      </w:r>
    </w:p>
    <w:p>
      <w:pPr>
        <w:pStyle w:val="[Normal]"/>
        <w:spacing w:line="360" w:lineRule="auto"/>
        <w:ind w:firstLine="1134"/>
        <w:jc w:val="both"/>
        <w:rPr>
          <w:lang w:val="es-AR" w:eastAsia="es-AR" w:bidi="es-AR"/>
        </w:rPr>
      </w:pPr>
      <w:r>
        <w:rPr>
          <w:lang w:val="es-AR" w:eastAsia="es-AR" w:bidi="es-AR"/>
        </w:rPr>
        <w:t xml:space="preserve">En ese marco, corresponde recordar que el a quo fundó el rechazo de la pretensión, entre otros aspectos, en que la falta de razón debe subsistir al tiempo de testar, no siendo toda enfermedad o alteración de facultades del espíritu suficiente para dar lugar a la nulidad, sino únicamente aquella que prive al sujeto de razón y que el estado de privación debe ser acreditado de modo concreto en el momento del acto (con cita del art. 2467 CCyC).  La misma sentencia también destacó que la historia clínica </w:t>
      </w:r>
      <w:r>
        <w:rPr>
          <w:i/>
          <w:lang w:val="es-AR" w:eastAsia="es-AR" w:bidi="es-AR"/>
        </w:rPr>
        <w:t xml:space="preserve">“solo da cuenta de dolencias físicas”</w:t>
      </w:r>
      <w:r>
        <w:rPr>
          <w:lang w:val="es-AR" w:eastAsia="es-AR" w:bidi="es-AR"/>
        </w:rPr>
        <w:t xml:space="preserve"> y que no contiene referencias específicas sobre lucidez/deslucidez u orientación que permitan asentar un juicio médico retrospectivo con la certeza requerida.</w:t>
      </w:r>
    </w:p>
    <w:p>
      <w:pPr>
        <w:pStyle w:val="[Normal]"/>
        <w:spacing w:line="360" w:lineRule="auto"/>
        <w:ind w:firstLine="1134"/>
        <w:jc w:val="both"/>
        <w:rPr>
          <w:lang w:val="es-AR" w:eastAsia="es-AR" w:bidi="es-AR"/>
        </w:rPr>
      </w:pPr>
      <w:r>
        <w:rPr>
          <w:lang w:val="es-AR" w:eastAsia="es-AR" w:bidi="es-AR"/>
        </w:rPr>
        <w:t xml:space="preserve">Por su lado, la actora construyó un razonamiento inferencial: a mayor gravedad clínica y cercanía del fallecimiento, mayor probabilidad de incapacidad para comprender y querer.  Sin embargo, aún concediendo valor indiciario a esa proximidad, el salto lógico que propone requiere una pieza que enlace lo orgánico con lo psíquico/cognitivo en el preciso tramo temporal del testamento.  Y esa pieza -en el material probatorio disponible- aparece debilitada por dos datos objetivos del expediente: por un lado, la pericia médica/psiquiátrica post mortem informó que </w:t>
      </w:r>
      <w:r>
        <w:rPr>
          <w:i/>
          <w:lang w:val="es-AR" w:eastAsia="es-AR" w:bidi="es-AR"/>
        </w:rPr>
        <w:t xml:space="preserve">“no surgen de autos elementos que permitan peritar sobre el estado psíquico del Sr. (…) en el transcurso de los años 2018/2019”</w:t>
      </w:r>
      <w:r>
        <w:rPr>
          <w:lang w:val="es-AR" w:eastAsia="es-AR" w:bidi="es-AR"/>
        </w:rPr>
        <w:t xml:space="preserve"> ; por el otro, el propio sentenciante destacó que la historia clínica arrimada al proceso no incorpora constancias específicas sobre orientación, memoria, juicio o comprensión al tiempo cercano al acto, lo que limita severamente la posibilidad de convertir la gravedad orgánica en una conclusión jurídica sobre </w:t>
      </w:r>
      <w:r>
        <w:rPr>
          <w:i/>
          <w:lang w:val="es-AR" w:eastAsia="es-AR" w:bidi="es-AR"/>
        </w:rPr>
        <w:t xml:space="preserve">“privación de razón”</w:t>
      </w:r>
      <w:r>
        <w:rPr>
          <w:lang w:val="es-AR" w:eastAsia="es-AR" w:bidi="es-AR"/>
        </w:rPr>
        <w:t xml:space="preserve"> en el sentido estricto exigido por el art. 2467 CCyC.</w:t>
      </w:r>
    </w:p>
    <w:p>
      <w:pPr>
        <w:pStyle w:val="[Normal]"/>
        <w:spacing w:line="360" w:lineRule="auto"/>
        <w:ind w:firstLine="1134"/>
        <w:jc w:val="both"/>
        <w:rPr>
          <w:color w:val="000000"/>
          <w:lang w:val="es-AR" w:eastAsia="es-AR" w:bidi="es-AR"/>
        </w:rPr>
      </w:pPr>
      <w:r>
        <w:rPr>
          <w:color w:val="000000"/>
          <w:lang w:val="es-AR" w:eastAsia="es-AR" w:bidi="es-AR"/>
        </w:rPr>
        <w:t xml:space="preserve">Al respecto, esta Cámara ha dicho que: </w:t>
      </w:r>
      <w:r>
        <w:rPr>
          <w:i/>
          <w:color w:val="000000"/>
          <w:lang w:val="es-AR" w:eastAsia="es-AR" w:bidi="es-AR"/>
        </w:rPr>
        <w:t xml:space="preserve">"en los procesos en los que se debate la nulidad de un acto jurídico por falta de discernimiento, al reposar el vicio invalidante del acto en una circunstancia relativa a la condición psíquica del otorgante, la prueba de naturaleza médica y psiquiátrica asume una relevancia mayúscula y prevalente sobre los restantes elementos de prueba, por cuanto aporta datos sobre este aspecto medular de la voluntariedad del sujeto -que ha sido aquel puesto en crisis por la pretensión anulatoria-, y que por su complejidad fáctica hace razonable otorgar una mayor injerencia al dictamen profesional de los expertos en la materia"</w:t>
      </w:r>
      <w:r>
        <w:rPr>
          <w:color w:val="000000"/>
          <w:lang w:val="es-AR" w:eastAsia="es-AR" w:bidi="es-AR"/>
        </w:rPr>
        <w:t xml:space="preserve"> (Cámara de Apelaciones en lo Civil y Comercial de Pergamino, </w:t>
      </w:r>
      <w:r>
        <w:rPr>
          <w:i/>
          <w:lang w:val="es-AR" w:eastAsia="es-AR" w:bidi="es-AR"/>
        </w:rPr>
        <w:t xml:space="preserve">"</w:t>
      </w:r>
      <w:r>
        <w:rPr>
          <w:i/>
          <w:color w:val="000000"/>
          <w:lang w:val="es-AR" w:eastAsia="es-AR" w:bidi="es-AR"/>
        </w:rPr>
        <w:t xml:space="preserve">visintini Noemi y otros c/ D´angeli Leonardo German y otro/a s/ nulidad acto jurídico</w:t>
      </w:r>
      <w:r>
        <w:rPr>
          <w:i/>
          <w:lang w:val="es-AR" w:eastAsia="es-AR" w:bidi="es-AR"/>
        </w:rPr>
        <w:t xml:space="preserve">", </w:t>
      </w:r>
      <w:r>
        <w:rPr>
          <w:lang w:val="es-AR" w:eastAsia="es-AR" w:bidi="es-AR"/>
        </w:rPr>
        <w:t xml:space="preserve">18/4/2024).</w:t>
      </w:r>
    </w:p>
    <w:p>
      <w:pPr>
        <w:pStyle w:val="[Normal]"/>
        <w:spacing w:line="360" w:lineRule="auto"/>
        <w:ind w:firstLine="1134"/>
        <w:jc w:val="both"/>
        <w:rPr>
          <w:color w:val="000000"/>
          <w:lang w:val="es-AR" w:eastAsia="es-AR" w:bidi="es-AR"/>
        </w:rPr>
      </w:pPr>
      <w:r>
        <w:rPr>
          <w:color w:val="000000"/>
          <w:lang w:val="es-AR" w:eastAsia="es-AR" w:bidi="es-AR"/>
        </w:rPr>
        <w:t xml:space="preserve">Sobre la fuerza probatoria prevalente de la pericia médica psiquiátrica en punto a la determinación de hechos de naturaleza psíquica, la Cámara de Apelaciones en lo Civil y Comercial de Quilmes ha dicho que: </w:t>
      </w:r>
      <w:r>
        <w:rPr>
          <w:i/>
          <w:color w:val="000000"/>
          <w:lang w:val="es-AR" w:eastAsia="es-AR" w:bidi="es-AR"/>
        </w:rPr>
        <w:t xml:space="preserve">"Si la pericia psiquiátrica que mereció el pedido de explicaciones de los justiciables y fuera respondido por el experto, no adolece de errores manifiestos o grave inconsecuencia, ni contradice máximas de experiencia que autoricen a prescindir de sus conclusiones habrá de estarse a sus términos (arts. 473 y 474, CPCC)"</w:t>
      </w:r>
      <w:r>
        <w:rPr>
          <w:color w:val="000000"/>
          <w:lang w:val="es-AR" w:eastAsia="es-AR" w:bidi="es-AR"/>
        </w:rPr>
        <w:t xml:space="preserve"> (Cámara de Apelaciones en lo Civil y Comercial de Quilmes, </w:t>
      </w:r>
      <w:r>
        <w:rPr>
          <w:i/>
          <w:color w:val="000000"/>
          <w:lang w:val="es-AR" w:eastAsia="es-AR" w:bidi="es-AR"/>
        </w:rPr>
        <w:t xml:space="preserve">"Medina, Victor Daniel c/ Gonzalez, Francisco Alberto s/ Daños y Perjuicios", </w:t>
      </w:r>
      <w:r>
        <w:rPr>
          <w:color w:val="000000"/>
          <w:lang w:val="es-AR" w:eastAsia="es-AR" w:bidi="es-AR"/>
        </w:rPr>
        <w:t xml:space="preserve">14/03/2018).</w:t>
      </w:r>
    </w:p>
    <w:p>
      <w:pPr>
        <w:pStyle w:val="[Normal]"/>
        <w:spacing w:line="360" w:lineRule="auto"/>
        <w:ind w:firstLine="1134"/>
        <w:jc w:val="both"/>
        <w:rPr>
          <w:lang w:val="es-AR" w:eastAsia="es-AR" w:bidi="es-AR"/>
        </w:rPr>
      </w:pPr>
      <w:r>
        <w:rPr>
          <w:color w:val="000000"/>
          <w:lang w:val="es-AR" w:eastAsia="es-AR" w:bidi="es-AR"/>
        </w:rPr>
        <w:t xml:space="preserve"> En similar sentido, la Cámara Civil y Comercial de San Martín ha resaltado la primacía de la prueba pericial por sobre la testimonial: </w:t>
      </w:r>
      <w:r>
        <w:rPr>
          <w:i/>
          <w:color w:val="000000"/>
          <w:lang w:val="es-AR" w:eastAsia="es-AR" w:bidi="es-AR"/>
        </w:rPr>
        <w:t xml:space="preserve">"...cabe marcar la prevalente proyección probatoria de la pericia por sobre la prueba testimonial, en cuánto porta la incuestionable garantía de la "imparcialidad" y de la "idoneidad" (arg. arts. 463, 464, y del Cód. Proc.). Es que sin perjuicio de la información que alleguen los testigos, ella conduce al puntual discernimiento de la dinámica de la colisión abordada desde una perspectiva científica..."</w:t>
      </w:r>
      <w:r>
        <w:rPr>
          <w:color w:val="000000"/>
          <w:lang w:val="es-AR" w:eastAsia="es-AR" w:bidi="es-AR"/>
        </w:rPr>
        <w:t xml:space="preserve"> (Cámara de Apelaciones en lo Civil y Comercial de San Martín, </w:t>
      </w:r>
      <w:r>
        <w:rPr>
          <w:i/>
          <w:color w:val="000000"/>
          <w:lang w:val="es-AR" w:eastAsia="es-AR" w:bidi="es-AR"/>
        </w:rPr>
        <w:t xml:space="preserve">"Sosa Marisa Vilma c/ Carrizo Fernando Ariel y otros s/ Daños y perjuicios"</w:t>
      </w:r>
      <w:r>
        <w:rPr>
          <w:color w:val="000000"/>
          <w:lang w:val="es-AR" w:eastAsia="es-AR" w:bidi="es-AR"/>
        </w:rPr>
        <w:t xml:space="preserve">, 01/03/2018).</w:t>
      </w:r>
    </w:p>
    <w:p>
      <w:pPr>
        <w:pStyle w:val="[Normal]"/>
        <w:spacing w:line="360" w:lineRule="auto"/>
        <w:ind w:firstLine="1134"/>
        <w:jc w:val="both"/>
        <w:rPr>
          <w:lang w:val="es-AR" w:eastAsia="es-AR" w:bidi="es-AR"/>
        </w:rPr>
      </w:pPr>
      <w:r>
        <w:rPr>
          <w:lang w:val="es-AR" w:eastAsia="es-AR" w:bidi="es-AR"/>
        </w:rPr>
        <w:t xml:space="preserve">De allí que la proximidad entre el acto y el fallecimiento, por sí sola, no opera como presunción de incapacidad. Como máximo, puede configurar un dato contextual que invita a extremar el análisis, pero no reemplaza la demostración concreta del déficit decisorio al momento de testar. En otras palabras: una enfermedad grave puede coexistir con intervalos de lucidez; y, a la inversa, un deterioro cognitivo puede presentarse sin signos externos evidentes. Justamente por ello el estándar exigido por la norma y la jurisprudencia es riguroso, y la prueba debe concentrarse en el momento del acto (o en un perímetro temporal inmediato con signos claros y consistentes).  Eso es lo que recoge la sentencia cuando insiste en que no cualquier alteración basta, sino la que prive de razón y debe acreditarse de modo concreto al tiempo del otorgamiento.</w:t>
      </w:r>
    </w:p>
    <w:p>
      <w:pPr>
        <w:pStyle w:val="[Normal]"/>
        <w:spacing w:line="360" w:lineRule="auto"/>
        <w:ind w:firstLine="1134"/>
        <w:jc w:val="both"/>
        <w:rPr>
          <w:lang w:val="es-AR" w:eastAsia="es-AR" w:bidi="es-AR"/>
        </w:rPr>
      </w:pPr>
      <w:r>
        <w:rPr>
          <w:lang w:val="es-AR" w:eastAsia="es-AR" w:bidi="es-AR"/>
        </w:rPr>
        <w:t xml:space="preserve">Respecto al estándar probatorio aplicable, este Tribunal ha dicho que: </w:t>
      </w:r>
      <w:r>
        <w:rPr>
          <w:i/>
          <w:lang w:val="es-AR" w:eastAsia="es-AR" w:bidi="es-AR"/>
        </w:rPr>
        <w:t xml:space="preserve">"quien reviste la calidad de demandante afirma que el acto es nulo y por ende le incumbe la prueba de tal afirmación contraria a la presunción legal -art. 375 Cód. Procesal-, y la prueba del estado mental del testador debe ser decisiva, seria y contundente" (</w:t>
      </w:r>
      <w:r>
        <w:rPr>
          <w:lang w:val="es-AR" w:eastAsia="es-AR" w:bidi="es-AR"/>
        </w:rPr>
        <w:t xml:space="preserve">Cámara  de Apelación en lo Civil y Comercial del Departamento Judicial Pergamino, para dictar sentencia  en  los  autos  N°</w:t>
      </w:r>
      <w:r>
        <w:rPr>
          <w:i/>
          <w:color w:val="000000"/>
          <w:lang w:val="es-AR" w:eastAsia="es-AR" w:bidi="es-AR"/>
        </w:rPr>
        <w:t xml:space="preserve">895 </w:t>
      </w:r>
      <w:r>
        <w:rPr>
          <w:lang w:val="es-AR" w:eastAsia="es-AR" w:bidi="es-AR"/>
        </w:rPr>
        <w:t xml:space="preserve">  caratulados  "</w:t>
      </w:r>
      <w:r>
        <w:rPr>
          <w:color w:val="000000"/>
          <w:lang w:val="es-AR" w:eastAsia="es-AR" w:bidi="es-AR"/>
        </w:rPr>
        <w:t xml:space="preserve">Sciarra, Fernando J. c/ Eliceche, Marcelo B. y otros s/ Nulidad de testamento (70) </w:t>
      </w:r>
      <w:r>
        <w:rPr>
          <w:lang w:val="es-AR" w:eastAsia="es-AR" w:bidi="es-AR"/>
        </w:rPr>
        <w:t xml:space="preserve">", 4 de Octubre de 2011).</w:t>
      </w:r>
    </w:p>
    <w:p>
      <w:pPr>
        <w:pStyle w:val="[Normal]"/>
        <w:spacing w:line="360" w:lineRule="auto"/>
        <w:ind w:firstLine="1134"/>
        <w:jc w:val="both"/>
        <w:rPr>
          <w:lang w:val="es-AR" w:eastAsia="es-AR" w:bidi="es-AR"/>
        </w:rPr>
      </w:pPr>
      <w:r>
        <w:rPr>
          <w:color w:val="000000"/>
          <w:lang w:val="es-AR" w:eastAsia="es-AR" w:bidi="es-AR"/>
        </w:rPr>
        <w:t xml:space="preserve">En esta orientación, la Sala F de la Cámara Nacional de Apelaciones Civil ha dicho que: </w:t>
      </w:r>
      <w:r>
        <w:rPr>
          <w:i/>
          <w:color w:val="000000"/>
          <w:lang w:val="es-AR" w:eastAsia="es-AR" w:bidi="es-AR"/>
        </w:rPr>
        <w:t xml:space="preserve">"Quien pretende la nulidad de un acto jurídico con fundamento en la falta de discernimiento del otorgante, debe demostrar que la persona carecía de aquél en el momento de celebrar el acto que se tacha de nulo (...) Asimismo, la prueba que se produzca a ese fin, debe ser concluyente, insospechada y decisiva, cuestión ésta que queda librada a la apreciación judicial"</w:t>
      </w:r>
      <w:r>
        <w:rPr>
          <w:color w:val="000000"/>
          <w:lang w:val="es-AR" w:eastAsia="es-AR" w:bidi="es-AR"/>
        </w:rPr>
        <w:t xml:space="preserve"> (Cámara Nacional de Apelaciones Civil, Sala F, "Belmonte, Juan c/ Belmonte, Nives Francisco y otros s/ Nulidad de escritura", 22/10/1996).</w:t>
      </w:r>
    </w:p>
    <w:p>
      <w:pPr>
        <w:pStyle w:val="[Normal]"/>
        <w:spacing w:line="360" w:lineRule="auto"/>
        <w:ind w:firstLine="1134"/>
        <w:jc w:val="both"/>
        <w:rPr>
          <w:lang w:val="es-AR" w:eastAsia="es-AR" w:bidi="es-AR"/>
        </w:rPr>
      </w:pPr>
      <w:r>
        <w:rPr>
          <w:lang w:val="es-AR" w:eastAsia="es-AR" w:bidi="es-AR"/>
        </w:rPr>
        <w:t xml:space="preserve">En tales coordenadas, y retornando sobre el epicentro de la cuestión, es dable remarcar que, en el plano estrictamente médico-forense, el expediente ofrece una conclusión relevante que debilita el núcleo del agravio: la imposibilidad de emitir un juicio pericial retrospectivo sólido sobre el estado psíquico del causante en 2018/2019.  Frente a ese límite, la crítica de la actora, para prosperar, debería exhibir constancias clínicas alternativas -contemporáneas o inmediatamente próximas- que describan desorientación, confusión, deterioro cognitivo, delirium, demencia u otra afección que afecte la comprensión y la voluntad. Pero la sentencia subraya que la historia clínica arrimada </w:t>
      </w:r>
      <w:r>
        <w:rPr>
          <w:i/>
          <w:lang w:val="es-AR" w:eastAsia="es-AR" w:bidi="es-AR"/>
        </w:rPr>
        <w:t xml:space="preserve">“solo da cuenta de dolencias físicas”</w:t>
      </w:r>
      <w:r>
        <w:rPr>
          <w:lang w:val="es-AR" w:eastAsia="es-AR" w:bidi="es-AR"/>
        </w:rPr>
        <w:t xml:space="preserve"> y carece de registros específicos sobre lucidez/deslucidez.</w:t>
      </w:r>
    </w:p>
    <w:p>
      <w:pPr>
        <w:pStyle w:val="[Normal]"/>
        <w:spacing w:line="360" w:lineRule="auto"/>
        <w:ind w:firstLine="1134"/>
        <w:jc w:val="both"/>
        <w:rPr>
          <w:lang w:val="es-AR" w:eastAsia="es-AR" w:bidi="es-AR"/>
        </w:rPr>
      </w:pPr>
      <w:r>
        <w:rPr>
          <w:lang w:val="es-AR" w:eastAsia="es-AR" w:bidi="es-AR"/>
        </w:rPr>
        <w:t xml:space="preserve">En este punto conviene precisar el alcance de esa constatación: no significa negar que el causante estuviera grave o debilitado (dato que la propia actora enfatiza), sino asumir que la documentación médica disponible no aporta, con la densidad informativa requerida, el elemento cualitativo decisivo: la alteración psíquica/cognitiva privativa de razón al tiempo de testar. Si ello no emerge de la pericia y tampoco aparece asentado en la historia clínica, el tribunal queda necesariamente remitido a la prueba de otros órdenes (principalmente la testimonial del entorno y, con especial prudencia, la vinculada al mismo acto notarial).</w:t>
      </w:r>
    </w:p>
    <w:p>
      <w:pPr>
        <w:pStyle w:val="[Normal]"/>
        <w:spacing w:line="360" w:lineRule="auto"/>
        <w:ind w:firstLine="1134"/>
        <w:jc w:val="both"/>
        <w:rPr>
          <w:lang w:val="es-AR" w:eastAsia="es-AR" w:bidi="es-AR"/>
        </w:rPr>
      </w:pPr>
      <w:r>
        <w:rPr>
          <w:lang w:val="es-AR" w:eastAsia="es-AR" w:bidi="es-AR"/>
        </w:rPr>
        <w:t xml:space="preserve">Transitando a otro segmento del plexo probatorio, la actora afirma que existen testimonios que describen deterioro, desorientación y pérdida de memoria inmediata próximos al otorgamiento. </w:t>
      </w:r>
    </w:p>
    <w:p>
      <w:pPr>
        <w:pStyle w:val="[Normal]"/>
        <w:spacing w:line="360" w:lineRule="auto"/>
        <w:ind w:firstLine="1134"/>
        <w:jc w:val="both"/>
        <w:rPr>
          <w:lang w:val="es-AR" w:eastAsia="es-AR" w:bidi="es-AR"/>
        </w:rPr>
      </w:pPr>
      <w:r>
        <w:rPr>
          <w:lang w:val="es-AR" w:eastAsia="es-AR" w:bidi="es-AR"/>
        </w:rPr>
        <w:t xml:space="preserve">Frente a lo expuesto, corresponde entonces revisar el rendimiento concreto de ese tipo de prueba, especialmente en dos dimensiones: (a) la precisión temporal (qué tan cerca del 23/11/2019 se ubican las observaciones del testigo), y (b) la entidad del déficit narrado (si se trata de olvidos compatibles con la vida cotidiana de un adulto mayor o de signos que comprometen la aptitud de comprender la naturaleza del testamento).</w:t>
      </w:r>
    </w:p>
    <w:p>
      <w:pPr>
        <w:pStyle w:val="[Normal]"/>
        <w:spacing w:line="360" w:lineRule="auto"/>
        <w:ind w:firstLine="1134"/>
        <w:jc w:val="both"/>
        <w:rPr>
          <w:lang w:val="es-AR" w:eastAsia="es-AR" w:bidi="es-AR"/>
        </w:rPr>
      </w:pPr>
      <w:r>
        <w:rPr>
          <w:lang w:val="es-AR" w:eastAsia="es-AR" w:bidi="es-AR"/>
        </w:rPr>
        <w:t xml:space="preserve">Un ejemplo útil para medir esos parámetros es la declaración testimonial del Sr. Saccani prestada en fecha 4/10/2023. Allí se alude a que el causante necesitaba recordatorios para concurrir a firmar la </w:t>
      </w:r>
      <w:r>
        <w:rPr>
          <w:i/>
          <w:lang w:val="es-AR" w:eastAsia="es-AR" w:bidi="es-AR"/>
        </w:rPr>
        <w:t xml:space="preserve">“fe de vida”</w:t>
      </w:r>
      <w:r>
        <w:rPr>
          <w:lang w:val="es-AR" w:eastAsia="es-AR" w:bidi="es-AR"/>
        </w:rPr>
        <w:t xml:space="preserve">, porque </w:t>
      </w:r>
      <w:r>
        <w:rPr>
          <w:i/>
          <w:lang w:val="es-AR" w:eastAsia="es-AR" w:bidi="es-AR"/>
        </w:rPr>
        <w:t xml:space="preserve">“se colgaba”</w:t>
      </w:r>
      <w:r>
        <w:rPr>
          <w:lang w:val="es-AR" w:eastAsia="es-AR" w:bidi="es-AR"/>
        </w:rPr>
        <w:t xml:space="preserve"> u olvidaba, y que se lo notaba </w:t>
      </w:r>
      <w:r>
        <w:rPr>
          <w:i/>
          <w:lang w:val="es-AR" w:eastAsia="es-AR" w:bidi="es-AR"/>
        </w:rPr>
        <w:t xml:space="preserve">“muy deteriorado físicamente”</w:t>
      </w:r>
      <w:r>
        <w:rPr>
          <w:lang w:val="es-AR" w:eastAsia="es-AR" w:bidi="es-AR"/>
        </w:rPr>
        <w:t xml:space="preserve">. Sin embargo, aún tomando el relato en su máxima extensión, se advierten límites: la referencia aparece asociada a gestiones rutinarias (ir a firmar), no a la comprensión de un acto de última voluntad; y, principalmente, no se individualiza con nitidez la fecha o el período exacto de esas observaciones en relación con el 23/11/2019. Ese déficit de anclaje temporal reduce el poder demostrativo para acreditar </w:t>
      </w:r>
      <w:r>
        <w:rPr>
          <w:i/>
          <w:lang w:val="es-AR" w:eastAsia="es-AR" w:bidi="es-AR"/>
        </w:rPr>
        <w:t xml:space="preserve">“privación de razón” </w:t>
      </w:r>
      <w:r>
        <w:rPr>
          <w:lang w:val="es-AR" w:eastAsia="es-AR" w:bidi="es-AR"/>
        </w:rPr>
        <w:t xml:space="preserve">al momento del testamento, que es -según la propia sentencia- el punto decisivo.</w:t>
      </w:r>
    </w:p>
    <w:p>
      <w:pPr>
        <w:pStyle w:val="[Normal]"/>
        <w:spacing w:line="360" w:lineRule="auto"/>
        <w:ind w:firstLine="1134"/>
        <w:jc w:val="both"/>
        <w:rPr>
          <w:lang w:val="es-AR" w:eastAsia="es-AR" w:bidi="es-AR"/>
        </w:rPr>
      </w:pPr>
      <w:r>
        <w:rPr>
          <w:lang w:val="es-AR" w:eastAsia="es-AR" w:bidi="es-AR"/>
        </w:rPr>
        <w:t xml:space="preserve">A la par, el a quo ponderó como relevante la declaración del médico tratante Dr. Gazzul otorgada en fecha 4/10/2023, a quien atribuyó particular valor por su contacto profesional con el causante, señalando que el de cujus </w:t>
      </w:r>
      <w:r>
        <w:rPr>
          <w:i/>
          <w:lang w:val="es-AR" w:eastAsia="es-AR" w:bidi="es-AR"/>
        </w:rPr>
        <w:t xml:space="preserve">“estaba en condiciones de otorgar el acto porque sabía lo que estaba haciendo, siendo plenamente consciente”</w:t>
      </w:r>
      <w:r>
        <w:rPr>
          <w:lang w:val="es-AR" w:eastAsia="es-AR" w:bidi="es-AR"/>
        </w:rPr>
        <w:t xml:space="preserve">. Sin perjuicio de que todo testimonio es revisable, lo cierto es que, en términos de sana crítica, un testimonio médico contemporáneo sobre conciencia y comprensión tiene aptitud para contrapesar relatos generales de olvidos o </w:t>
      </w:r>
      <w:r>
        <w:rPr>
          <w:i/>
          <w:lang w:val="es-AR" w:eastAsia="es-AR" w:bidi="es-AR"/>
        </w:rPr>
        <w:t xml:space="preserve">“desorientaciones”</w:t>
      </w:r>
      <w:r>
        <w:rPr>
          <w:lang w:val="es-AR" w:eastAsia="es-AR" w:bidi="es-AR"/>
        </w:rPr>
        <w:t xml:space="preserve"> no fechadas con precisión, más aún cuando la pericia </w:t>
      </w:r>
      <w:r>
        <w:rPr>
          <w:i/>
          <w:lang w:val="es-AR" w:eastAsia="es-AR" w:bidi="es-AR"/>
        </w:rPr>
        <w:t xml:space="preserve">post mortem</w:t>
      </w:r>
      <w:r>
        <w:rPr>
          <w:lang w:val="es-AR" w:eastAsia="es-AR" w:bidi="es-AR"/>
        </w:rPr>
        <w:t xml:space="preserve"> no pudo reconstruir el estado psíquico con base científica suficiente.</w:t>
      </w:r>
    </w:p>
    <w:p>
      <w:pPr>
        <w:pStyle w:val="[Normal]"/>
        <w:spacing w:line="360" w:lineRule="auto"/>
        <w:ind w:firstLine="1134"/>
        <w:jc w:val="both"/>
        <w:rPr>
          <w:lang w:val="es-AR" w:eastAsia="es-AR" w:bidi="es-AR"/>
        </w:rPr>
      </w:pPr>
      <w:r>
        <w:rPr>
          <w:lang w:val="es-AR" w:eastAsia="es-AR" w:bidi="es-AR"/>
        </w:rPr>
        <w:t xml:space="preserve">Es dable referir en este aspecto que en los litigios sobre capacidad para testar, la prueba que mayor aptitud tiene para acercarse al </w:t>
      </w:r>
      <w:r>
        <w:rPr>
          <w:i/>
          <w:lang w:val="es-AR" w:eastAsia="es-AR" w:bidi="es-AR"/>
        </w:rPr>
        <w:t xml:space="preserve">“momento del acto”</w:t>
      </w:r>
      <w:r>
        <w:rPr>
          <w:lang w:val="es-AR" w:eastAsia="es-AR" w:bidi="es-AR"/>
        </w:rPr>
        <w:t xml:space="preserve"> es la que se refiere a lo ocurrido ese mismo día: quién lo acompañó, cómo se desenvolvió, si comprendió la lectura, si pudo expresar su voluntad, si hubo coherencia mínima entre pregunta-respuesta, etc. En ese sentido, obran elementos que la sentencia (y, en general, el proceso) valoran como indicios de actuación consciente y finalista.</w:t>
      </w:r>
    </w:p>
    <w:p>
      <w:pPr>
        <w:pStyle w:val="[Normal]"/>
        <w:spacing w:line="360" w:lineRule="auto"/>
        <w:ind w:firstLine="1134"/>
        <w:jc w:val="both"/>
        <w:rPr>
          <w:lang w:val="es-AR" w:eastAsia="es-AR" w:bidi="es-AR"/>
        </w:rPr>
      </w:pPr>
      <w:r>
        <w:rPr>
          <w:lang w:val="es-AR" w:eastAsia="es-AR" w:bidi="es-AR"/>
        </w:rPr>
        <w:t xml:space="preserve">Así, la testigo Bissoni -convocada al acto- refirió en fecha 4/10/2023 que </w:t>
      </w:r>
      <w:r>
        <w:rPr>
          <w:i/>
          <w:lang w:val="es-AR" w:eastAsia="es-AR" w:bidi="es-AR"/>
        </w:rPr>
        <w:t xml:space="preserve">“primero hicieron pasar solo a Mario” </w:t>
      </w:r>
      <w:r>
        <w:rPr>
          <w:lang w:val="es-AR" w:eastAsia="es-AR" w:bidi="es-AR"/>
        </w:rPr>
        <w:t xml:space="preserve">y luego, al ingresar los testigos, </w:t>
      </w:r>
      <w:r>
        <w:rPr>
          <w:i/>
          <w:lang w:val="es-AR" w:eastAsia="es-AR" w:bidi="es-AR"/>
        </w:rPr>
        <w:t xml:space="preserve">“se les leyó que Mario dejaba sus bienes a Valeria, que era su deseo”</w:t>
      </w:r>
      <w:r>
        <w:rPr>
          <w:lang w:val="es-AR" w:eastAsia="es-AR" w:bidi="es-AR"/>
        </w:rPr>
        <w:t xml:space="preserve">.  Este tipo de relato, aún sin constituir un examen clínico, se ubica en el núcleo temporal relevante y describe una secuencia compatible con la expresión de una voluntad determinada y con la comprensión mínima del contenido que se le lee en presencia de testigos.</w:t>
      </w:r>
    </w:p>
    <w:p>
      <w:pPr>
        <w:pStyle w:val="[Normal]"/>
        <w:spacing w:line="360" w:lineRule="auto"/>
        <w:ind w:firstLine="1134"/>
        <w:jc w:val="both"/>
        <w:rPr>
          <w:lang w:val="es-AR" w:eastAsia="es-AR" w:bidi="es-AR"/>
        </w:rPr>
      </w:pPr>
      <w:r>
        <w:rPr>
          <w:lang w:val="es-AR" w:eastAsia="es-AR" w:bidi="es-AR"/>
        </w:rPr>
        <w:t xml:space="preserve">En igual línea, el propio escribano demandado sostuvo que el causante </w:t>
      </w:r>
      <w:r>
        <w:rPr>
          <w:i/>
          <w:lang w:val="es-AR" w:eastAsia="es-AR" w:bidi="es-AR"/>
        </w:rPr>
        <w:t xml:space="preserve">“expresó claramente cuál era su voluntad”</w:t>
      </w:r>
      <w:r>
        <w:rPr>
          <w:lang w:val="es-AR" w:eastAsia="es-AR" w:bidi="es-AR"/>
        </w:rPr>
        <w:t xml:space="preserve">, que el instrumento fue redactado conforme esas instrucciones, que </w:t>
      </w:r>
      <w:r>
        <w:rPr>
          <w:i/>
          <w:lang w:val="es-AR" w:eastAsia="es-AR" w:bidi="es-AR"/>
        </w:rPr>
        <w:t xml:space="preserve">“dio lectura” </w:t>
      </w:r>
      <w:r>
        <w:rPr>
          <w:lang w:val="es-AR" w:eastAsia="es-AR" w:bidi="es-AR"/>
        </w:rPr>
        <w:t xml:space="preserve">al testamento y que </w:t>
      </w:r>
      <w:r>
        <w:rPr>
          <w:i/>
          <w:lang w:val="es-AR" w:eastAsia="es-AR" w:bidi="es-AR"/>
        </w:rPr>
        <w:t xml:space="preserve">“todo sucedió en un mismo acto, sin interrupción alguna”</w:t>
      </w:r>
      <w:r>
        <w:rPr>
          <w:lang w:val="es-AR" w:eastAsia="es-AR" w:bidi="es-AR"/>
        </w:rPr>
        <w:t xml:space="preserve">. Más allá de que se trata de una parte interesada (y ello exige cautela), su descripción coincide con el esquema formal del testamento por acto público y con la lógica de que, si en el acto no se presentaron signos ostensibles de incomprensión, la carga probatoria de quien alega incapacidad se torna particularmente exigente.  De hecho, el mismo escrito remarca la presunción general de capacidad y la carga probatoria de la actora (arts. 23 y 31 CCyC; art. 375 CPCC).</w:t>
      </w:r>
    </w:p>
    <w:p>
      <w:pPr>
        <w:pStyle w:val="[Normal]"/>
        <w:spacing w:line="360" w:lineRule="auto"/>
        <w:ind w:firstLine="1134"/>
        <w:jc w:val="both"/>
        <w:rPr>
          <w:lang w:val="es-AR" w:eastAsia="es-AR" w:bidi="es-AR"/>
        </w:rPr>
      </w:pPr>
      <w:r>
        <w:rPr>
          <w:lang w:val="es-AR" w:eastAsia="es-AR" w:bidi="es-AR"/>
        </w:rPr>
        <w:t xml:space="preserve">Con los elementos reseñados, el agravio por omisión de valoración integral no logra demostrar un vicio decisivo en el razonamiento del a quo. La sentencia de grado no se limitó a una afirmación dogmática de </w:t>
      </w:r>
      <w:r>
        <w:rPr>
          <w:i/>
          <w:lang w:val="es-AR" w:eastAsia="es-AR" w:bidi="es-AR"/>
        </w:rPr>
        <w:t xml:space="preserve">“lucidez”</w:t>
      </w:r>
      <w:r>
        <w:rPr>
          <w:lang w:val="es-AR" w:eastAsia="es-AR" w:bidi="es-AR"/>
        </w:rPr>
        <w:t xml:space="preserve">, sino que: (i) definió el estándar normativo (privación de razón al tiempo de testar, no cualquier alteración), (ii) señaló el déficit objetivo de la prueba médica para reconstruir el estado psíquico, y (iii) confrontó el material clínico disponible indicando que no contenía registros específicos que acreditaran deslucidez, todo ello en diálogo con testimonios de distinta calidad y proximidad, destacando especialmente el del médico tratante.</w:t>
      </w:r>
    </w:p>
    <w:p>
      <w:pPr>
        <w:pStyle w:val="[Normal]"/>
        <w:spacing w:line="360" w:lineRule="auto"/>
        <w:ind w:firstLine="1134"/>
        <w:jc w:val="both"/>
        <w:rPr>
          <w:lang w:val="es-AR" w:eastAsia="es-AR" w:bidi="es-AR"/>
        </w:rPr>
      </w:pPr>
      <w:r>
        <w:rPr>
          <w:lang w:val="es-AR" w:eastAsia="es-AR" w:bidi="es-AR"/>
        </w:rPr>
        <w:t xml:space="preserve">Aun si se concediera que el sentenciante no se detuvo extensamente en cada una de las declaraciones que la actora invoca, la Cámara no queda atada a un reproche formal, sino que debe verificar si esos elementos, ponderados con rigor, son capaces de revertir la conclusión. Y aquí aparece el punto nodal: los testimonios que refieren olvidos o necesidad de recordatorios para actos cotidianos (v.gr., la “fe de vida”) , sin anclaje temporal preciso y sin correlato clínico que los traduzca en un déficit decisorio grave, no alcanzan para tener por acreditada la </w:t>
      </w:r>
      <w:r>
        <w:rPr>
          <w:i/>
          <w:lang w:val="es-AR" w:eastAsia="es-AR" w:bidi="es-AR"/>
        </w:rPr>
        <w:t xml:space="preserve">“privación de razón” </w:t>
      </w:r>
      <w:r>
        <w:rPr>
          <w:lang w:val="es-AR" w:eastAsia="es-AR" w:bidi="es-AR"/>
        </w:rPr>
        <w:t xml:space="preserve">al 23/11/2019, máxime cuando la pericia no pudo reconstruir el estado psíquico y existen indicios contemporáneos al acto compatibles con comprensión y expresión de voluntad (lectura del testamento y manifestación del contenido en presencia de testigos).</w:t>
      </w:r>
    </w:p>
    <w:p>
      <w:pPr>
        <w:pStyle w:val="[Normal]"/>
        <w:spacing w:line="360" w:lineRule="auto"/>
        <w:ind w:firstLine="1134"/>
        <w:jc w:val="both"/>
        <w:rPr>
          <w:lang w:val="es-AR" w:eastAsia="es-AR" w:bidi="es-AR"/>
        </w:rPr>
      </w:pPr>
      <w:r>
        <w:rPr>
          <w:lang w:val="es-AR" w:eastAsia="es-AR" w:bidi="es-AR"/>
        </w:rPr>
        <w:t xml:space="preserve">La sana crítica racional es el método de valoración e interpretación de la prueba judicial que se resume en la convergencia conjunta de las reglas de la lógica, las reglas de la psicología social y las máximas de experiencia.  Se trata de un género amplio que subsume estas tres especies de reglas. La funcionalidad más trascendente de las reglas de la sana crítica (o de las máximas de experiencia, según se prefiere), se alcanza en el área de la interpretación y valoración de la prueba judicialmente producida; llegando a su ápice cuando media un conflicto entre elementos probatorios que reclama una apreciación conjunta de la prueba </w:t>
      </w:r>
      <w:r>
        <w:rPr>
          <w:i/>
          <w:lang w:val="es-AR" w:eastAsia="es-AR" w:bidi="es-AR"/>
        </w:rPr>
        <w:t xml:space="preserve">(Cf.  CARNELLI, Lorenzo, “Las máximas de experiencia en el proceso de orden dispositivo”</w:t>
      </w:r>
      <w:r>
        <w:rPr>
          <w:lang w:val="es-AR" w:eastAsia="es-AR" w:bidi="es-AR"/>
        </w:rPr>
        <w:t xml:space="preserve">, en Estudios de Derecho Procesal en honor de Hugo Alsina, Bs.As.1946, Ediar, pag. 126).</w:t>
      </w:r>
    </w:p>
    <w:p>
      <w:pPr>
        <w:pStyle w:val="[Normal]"/>
        <w:spacing w:line="360" w:lineRule="auto"/>
        <w:ind w:firstLine="1134"/>
        <w:jc w:val="both"/>
        <w:rPr>
          <w:lang w:val="es-AR" w:eastAsia="es-AR" w:bidi="es-AR"/>
        </w:rPr>
      </w:pPr>
      <w:r>
        <w:rPr>
          <w:lang w:val="es-AR" w:eastAsia="es-AR" w:bidi="es-AR"/>
        </w:rPr>
        <w:t xml:space="preserve">En virtud de lo expuesto, no le basta al recurrente la mera demostración de una valoración diferente por parte del a quo en relación al mérito de cada una de las probanzas producidas, sino que debe acreditar que la ponderación diferencial que denuncia resulta arbitraria o absurda en el caso concreto. </w:t>
      </w:r>
    </w:p>
    <w:p>
      <w:pPr>
        <w:pStyle w:val="[Normal]"/>
        <w:spacing w:line="360" w:lineRule="auto"/>
        <w:ind w:firstLine="1134"/>
        <w:jc w:val="both"/>
        <w:rPr>
          <w:color w:val="000000"/>
          <w:lang w:val="es-AR" w:eastAsia="es-AR" w:bidi="es-AR"/>
        </w:rPr>
      </w:pPr>
      <w:r>
        <w:rPr>
          <w:lang w:val="es-AR" w:eastAsia="es-AR" w:bidi="es-AR"/>
        </w:rPr>
        <w:t xml:space="preserve">Al respecto, la Corte Provincial se ha ocupado de precisar el estándar de crítica esperable para rebatir la valoración judicial de la prueba, postulando la necesidad de que </w:t>
      </w:r>
      <w:r>
        <w:rPr>
          <w:i/>
          <w:lang w:val="es-AR" w:eastAsia="es-AR" w:bidi="es-AR"/>
        </w:rPr>
        <w:t xml:space="preserve">"...</w:t>
      </w:r>
      <w:r>
        <w:rPr>
          <w:i/>
          <w:color w:val="000000"/>
          <w:lang w:val="es-AR" w:eastAsia="es-AR" w:bidi="es-AR"/>
        </w:rPr>
        <w:t xml:space="preserve">tales apreciaciones aparezcan fuera de los límites de lo opinable.  De modo tal que no logra evidenciarse que el pronunciamiento en crisis contenga un análisis que adolezca de graves desaciertos u omisiones que autoricen a descalificarlo como acto jurisdiccional válido, ni que lo concluido contradiga de manera palmaria las reglas de la lógica o la experiencia" </w:t>
      </w:r>
      <w:r>
        <w:rPr>
          <w:color w:val="000000"/>
          <w:lang w:val="es-AR" w:eastAsia="es-AR" w:bidi="es-AR"/>
        </w:rPr>
        <w:t xml:space="preserve">(SCBA,</w:t>
      </w:r>
      <w:r>
        <w:rPr>
          <w:i/>
          <w:color w:val="000000"/>
          <w:lang w:val="es-AR" w:eastAsia="es-AR" w:bidi="es-AR"/>
        </w:rPr>
        <w:t xml:space="preserve"> "Iribarne, Alicia Adriana -Part. Dam. s/ Recurso extraordinario de inaplicabilidad de ley", </w:t>
      </w:r>
      <w:r>
        <w:rPr>
          <w:color w:val="000000"/>
          <w:lang w:val="es-AR" w:eastAsia="es-AR" w:bidi="es-AR"/>
        </w:rPr>
        <w:t xml:space="preserve">3/10/2018").</w:t>
      </w:r>
    </w:p>
    <w:p>
      <w:pPr>
        <w:pStyle w:val="[Normal]"/>
        <w:spacing w:line="360" w:lineRule="auto"/>
        <w:ind w:firstLine="1134"/>
        <w:jc w:val="both"/>
        <w:rPr>
          <w:lang w:val="es-AR" w:eastAsia="es-AR" w:bidi="es-AR"/>
        </w:rPr>
      </w:pPr>
      <w:r>
        <w:rPr>
          <w:lang w:val="es-AR" w:eastAsia="es-AR" w:bidi="es-AR"/>
        </w:rPr>
        <w:t xml:space="preserve">En consecuencia, corresponde propiciar el rechazo de este primer agravio: no se verifica que la sentencia haya prescindido de prueba decisiva ni que la proximidad al fallecimiento y la gravedad del cuadro orgánico, en ausencia de acreditación concreta del déficit cognitivo privativo de razón en el momento del otorgamiento, alcancen para descalificar la conclusión de grado.</w:t>
      </w:r>
    </w:p>
    <w:p>
      <w:pPr>
        <w:pStyle w:val="[Normal]"/>
        <w:spacing w:line="360" w:lineRule="auto"/>
        <w:ind w:firstLine="1134"/>
        <w:jc w:val="both"/>
        <w:rPr>
          <w:lang w:val="es-AR" w:eastAsia="es-AR" w:bidi="es-AR"/>
        </w:rPr>
      </w:pPr>
      <w:r>
        <w:rPr>
          <w:lang w:val="es-AR" w:eastAsia="es-AR" w:bidi="es-AR"/>
        </w:rPr>
        <w:t xml:space="preserve">II.- El segundo agravio de la apelante se apoya en la idea de que la propia beneficiaria del testamento, Valeria Fabiana Faría, habría </w:t>
      </w:r>
      <w:r>
        <w:rPr>
          <w:i/>
          <w:lang w:val="es-AR" w:eastAsia="es-AR" w:bidi="es-AR"/>
        </w:rPr>
        <w:t xml:space="preserve">“tácitamente reconocido” </w:t>
      </w:r>
      <w:r>
        <w:rPr>
          <w:lang w:val="es-AR" w:eastAsia="es-AR" w:bidi="es-AR"/>
        </w:rPr>
        <w:t xml:space="preserve">que Mario Héctor Chavero no podía dirigir su persona ni sus actos, porque inició contra la actora un reclamo laboral (Exp. 48008 del Tribunal de Trabajo N° 1 de Pergamino) precedido de intercambio telegráfico desde enero de 2020, por una indemnización vinculada a tareas de cuidado.  Sobre esa base, sostiene que el a quo omitió ponderar ese dato y que, de no admitirse su relevancia, se configuraría incluso un supuesto de “estafa y mala fe” por haber reclamado a quien (según luego se supo) figuraba como heredera testamentaria.</w:t>
      </w:r>
    </w:p>
    <w:p>
      <w:pPr>
        <w:pStyle w:val="[Normal]"/>
        <w:spacing w:line="360" w:lineRule="auto"/>
        <w:ind w:firstLine="1134"/>
        <w:jc w:val="both"/>
        <w:rPr>
          <w:lang w:val="es-AR" w:eastAsia="es-AR" w:bidi="es-AR"/>
        </w:rPr>
      </w:pPr>
      <w:r>
        <w:rPr>
          <w:lang w:val="es-AR" w:eastAsia="es-AR" w:bidi="es-AR"/>
        </w:rPr>
        <w:t xml:space="preserve">Tal planteo exige, ante todo, precisar el objeto probatorio del proceso de impugnación: no se trata de establecer si el causante necesitaba asistencia o si terceros gestionaban aspectos cotidianos, sino si al tiempo del otorgamiento del testamento por escritura pública (23/11/2019) el testador carecía de discernimiento suficiente para comprender el acto y sus consecuencias, o si existió un vicio relevante de voluntad. Por ello, aún cuando el episodio del reclamo laboral pudiera considerarse un indicio del contexto asistencial del causante, su aptitud para desvirtuar la validez del acto testamentario debe medirse con un estándar estricto: conexión temporal y causal con el estado mental del testador al momento de testar, y suficiencia convictiva frente a la presunción de capacidad.</w:t>
      </w:r>
    </w:p>
    <w:p>
      <w:pPr>
        <w:pStyle w:val="[Normal]"/>
        <w:spacing w:line="360" w:lineRule="auto"/>
        <w:ind w:firstLine="1134"/>
        <w:jc w:val="both"/>
        <w:rPr>
          <w:lang w:val="es-AR" w:eastAsia="es-AR" w:bidi="es-AR"/>
        </w:rPr>
      </w:pPr>
      <w:r>
        <w:rPr>
          <w:lang w:val="es-AR" w:eastAsia="es-AR" w:bidi="es-AR"/>
        </w:rPr>
        <w:t xml:space="preserve">Como ya he resaltado ut supra, bajo el Código Civil y Comercial, la regla es la plena capacidad y, correlativamente, la impugnación basada en </w:t>
      </w:r>
      <w:r>
        <w:rPr>
          <w:i/>
          <w:lang w:val="es-AR" w:eastAsia="es-AR" w:bidi="es-AR"/>
        </w:rPr>
        <w:t xml:space="preserve">“falta de razón” </w:t>
      </w:r>
      <w:r>
        <w:rPr>
          <w:lang w:val="es-AR" w:eastAsia="es-AR" w:bidi="es-AR"/>
        </w:rPr>
        <w:t xml:space="preserve">o ausencia de discernimiento constituye una excepción que requiere prueba concreta por quien la alega.  En esa línea, el argumento defensivo remarca que el testador no tuvo restricción judicial de capacidad en vida, y que la carga de acreditar la ausencia de capacidad al momento de testar recaía en la actora. A ello se suma la referencia expresa al art. 2467 CCyC como pauta normativa para valorar la aptitud para testar y la necesidad de que la prueba se focalice en el tramo temporal relevante.</w:t>
      </w:r>
    </w:p>
    <w:p>
      <w:pPr>
        <w:pStyle w:val="[Normal]"/>
        <w:spacing w:line="360" w:lineRule="auto"/>
        <w:ind w:firstLine="1134"/>
        <w:jc w:val="both"/>
        <w:rPr>
          <w:lang w:val="es-AR" w:eastAsia="es-AR" w:bidi="es-AR"/>
        </w:rPr>
      </w:pPr>
      <w:r>
        <w:rPr>
          <w:lang w:val="es-AR" w:eastAsia="es-AR" w:bidi="es-AR"/>
        </w:rPr>
        <w:t xml:space="preserve">En particular, en materia testamentaria es decisivo el </w:t>
      </w:r>
      <w:r>
        <w:rPr>
          <w:i/>
          <w:lang w:val="es-AR" w:eastAsia="es-AR" w:bidi="es-AR"/>
        </w:rPr>
        <w:t xml:space="preserve">“momento del acto”</w:t>
      </w:r>
      <w:r>
        <w:rPr>
          <w:lang w:val="es-AR" w:eastAsia="es-AR" w:bidi="es-AR"/>
        </w:rPr>
        <w:t xml:space="preserve">: aún si una persona presenta fragilidad física, dependencia funcional o deterioros propios de la edad, ello no equivale automáticamente a incapacidad para disponer mortis causa. </w:t>
      </w:r>
    </w:p>
    <w:p>
      <w:pPr>
        <w:pStyle w:val="[Normal]"/>
        <w:spacing w:line="360" w:lineRule="auto"/>
        <w:ind w:firstLine="1134"/>
        <w:jc w:val="both"/>
        <w:rPr>
          <w:lang w:val="es-AR" w:eastAsia="es-AR" w:bidi="es-AR"/>
        </w:rPr>
      </w:pPr>
      <w:r>
        <w:rPr>
          <w:lang w:val="es-AR" w:eastAsia="es-AR" w:bidi="es-AR"/>
        </w:rPr>
        <w:t xml:space="preserve">La experiencia social muestra que pueden coexistir limitaciones somáticas severas con conservación del entendimiento y voluntad suficientes para un acto como el testamento, cuyo umbral cognitivo no exige habilidades complejas, sino comprensión básica del contenido (qué se dispone), de los destinatarios (a favor de quién) y del alcance patrimonial (qué bienes o porciones se alcanzan).</w:t>
      </w:r>
    </w:p>
    <w:p>
      <w:pPr>
        <w:pStyle w:val="[Normal]"/>
        <w:spacing w:line="360" w:lineRule="auto"/>
        <w:ind w:firstLine="1134"/>
        <w:jc w:val="both"/>
        <w:rPr>
          <w:lang w:val="es-AR" w:eastAsia="es-AR" w:bidi="es-AR"/>
        </w:rPr>
      </w:pPr>
      <w:r>
        <w:rPr>
          <w:lang w:val="es-AR" w:eastAsia="es-AR" w:bidi="es-AR"/>
        </w:rPr>
        <w:t xml:space="preserve">Sobre estas premisas, y desde el plano lógico-probatorio, el razonamiento central del agravio presenta una debilidad: parte de un hecho posterior al fallecimiento (intercambio telegráfico desde enero de 2020) y lo proyecta retrospectivamente como reconocimiento de un estado mental en noviembre de 2019. La propia demanda describe el reclamo como iniciado </w:t>
      </w:r>
      <w:r>
        <w:rPr>
          <w:i/>
          <w:lang w:val="es-AR" w:eastAsia="es-AR" w:bidi="es-AR"/>
        </w:rPr>
        <w:t xml:space="preserve">“luego de fallecido el causante” </w:t>
      </w:r>
      <w:r>
        <w:rPr>
          <w:lang w:val="es-AR" w:eastAsia="es-AR" w:bidi="es-AR"/>
        </w:rPr>
        <w:t xml:space="preserve">y vinculado a una indemnización por tareas de cuidado, destacando que se habría dirigido contra la actora y no contra la sucesión. </w:t>
      </w:r>
    </w:p>
    <w:p>
      <w:pPr>
        <w:pStyle w:val="[Normal]"/>
        <w:spacing w:line="360" w:lineRule="auto"/>
        <w:ind w:firstLine="1134"/>
        <w:jc w:val="both"/>
        <w:rPr>
          <w:lang w:val="es-AR" w:eastAsia="es-AR" w:bidi="es-AR"/>
        </w:rPr>
      </w:pPr>
      <w:r>
        <w:rPr>
          <w:lang w:val="es-AR" w:eastAsia="es-AR" w:bidi="es-AR"/>
        </w:rPr>
        <w:t xml:space="preserve">De manera que, aún aceptando esa secuencia -tal como está narrada-, de allí no se sigue necesariamente la conclusión que pretende la apelante, en virtud de las razones que enumeraré seguidamente:</w:t>
      </w:r>
    </w:p>
    <w:p>
      <w:pPr>
        <w:pStyle w:val="[Normal]"/>
        <w:spacing w:line="360" w:lineRule="auto"/>
        <w:ind w:firstLine="1134"/>
        <w:jc w:val="both"/>
        <w:rPr>
          <w:lang w:val="es-AR" w:eastAsia="es-AR" w:bidi="es-AR"/>
        </w:rPr>
      </w:pPr>
      <w:r>
        <w:rPr>
          <w:lang w:val="es-AR" w:eastAsia="es-AR" w:bidi="es-AR"/>
        </w:rPr>
        <w:t xml:space="preserve">1) Diferencia entre necesidad de cuidado y falta de discernimiento. Que una persona de 92 años requiera cuidadora, esté postrada o precise asistencia para desplazarse o para la organización de su vida diaria, puede dar cuenta de dependencia física o funcional; no demuestra por sí mismo incapacidad mental para testar. La inferencia </w:t>
      </w:r>
      <w:r>
        <w:rPr>
          <w:i/>
          <w:lang w:val="es-AR" w:eastAsia="es-AR" w:bidi="es-AR"/>
        </w:rPr>
        <w:t xml:space="preserve">“cuidado = incapacidad para dirigir actos” </w:t>
      </w:r>
      <w:r>
        <w:rPr>
          <w:lang w:val="es-AR" w:eastAsia="es-AR" w:bidi="es-AR"/>
        </w:rPr>
        <w:t xml:space="preserve">es, en términos probatorios, un salto fáctico que necesita apoyos adicionales (diagnóstico neurocognitivo, historia clínica con registros de confusión, desorientación, demencia, etc., o testimonios consistentes sobre pérdida de reconocimiento y juicio en fechas cercanas al otorgamiento).</w:t>
      </w:r>
    </w:p>
    <w:p>
      <w:pPr>
        <w:pStyle w:val="[Normal]"/>
        <w:spacing w:line="360" w:lineRule="auto"/>
        <w:ind w:firstLine="1134"/>
        <w:jc w:val="both"/>
        <w:rPr>
          <w:lang w:val="es-AR" w:eastAsia="es-AR" w:bidi="es-AR"/>
        </w:rPr>
      </w:pPr>
      <w:r>
        <w:rPr>
          <w:lang w:val="es-AR" w:eastAsia="es-AR" w:bidi="es-AR"/>
        </w:rPr>
        <w:t xml:space="preserve">2) Naturaleza y finalidad del reclamo. Un reclamo laboral (o su homologación) suele tener por objeto discutir la existencia de una relación de trabajo, tareas, remuneración e indemnización. Aun si la parte reclamante encuadró a Bocquin como </w:t>
      </w:r>
      <w:r>
        <w:rPr>
          <w:i/>
          <w:lang w:val="es-AR" w:eastAsia="es-AR" w:bidi="es-AR"/>
        </w:rPr>
        <w:t xml:space="preserve">“responsable”</w:t>
      </w:r>
      <w:r>
        <w:rPr>
          <w:lang w:val="es-AR" w:eastAsia="es-AR" w:bidi="es-AR"/>
        </w:rPr>
        <w:t xml:space="preserve"> o </w:t>
      </w:r>
      <w:r>
        <w:rPr>
          <w:i/>
          <w:lang w:val="es-AR" w:eastAsia="es-AR" w:bidi="es-AR"/>
        </w:rPr>
        <w:t xml:space="preserve">“empleadora”</w:t>
      </w:r>
      <w:r>
        <w:rPr>
          <w:lang w:val="es-AR" w:eastAsia="es-AR" w:bidi="es-AR"/>
        </w:rPr>
        <w:t xml:space="preserve"> de hecho -tal como lo sugiere la actora- ello puede obedecer a múltiples razones ajenas al discernimiento del causante: quién administraba la casa, quién pagaba, quién impartía instrucciones, a quién se consideraba interlocutor válido, o incluso una estrategia procesal (acertada o no) para asegurar un cobro. Nada de eso equivale per se a una confesión o reconocimiento de incapacidad mental del testador en noviembre de 2019.</w:t>
      </w:r>
    </w:p>
    <w:p>
      <w:pPr>
        <w:pStyle w:val="[Normal]"/>
        <w:spacing w:line="360" w:lineRule="auto"/>
        <w:ind w:firstLine="1134"/>
        <w:jc w:val="both"/>
        <w:rPr>
          <w:lang w:val="es-AR" w:eastAsia="es-AR" w:bidi="es-AR"/>
        </w:rPr>
      </w:pPr>
      <w:r>
        <w:rPr>
          <w:lang w:val="es-AR" w:eastAsia="es-AR" w:bidi="es-AR"/>
        </w:rPr>
        <w:t xml:space="preserve">3) La objeción </w:t>
      </w:r>
      <w:r>
        <w:rPr>
          <w:i/>
          <w:lang w:val="es-AR" w:eastAsia="es-AR" w:bidi="es-AR"/>
        </w:rPr>
        <w:t xml:space="preserve">“debió reclamar a la sucesión”</w:t>
      </w:r>
      <w:r>
        <w:rPr>
          <w:lang w:val="es-AR" w:eastAsia="es-AR" w:bidi="es-AR"/>
        </w:rPr>
        <w:t xml:space="preserve"> no prueba incapacidad. Que, desde una perspectiva técnica, el crédito (si lo hubiera) pudiera canalizarse contra la sucesión, no convierte en verdadero el hecho principal que se pretende derivar (incapacidad del testador). A lo sumo, abre un debate sobre legitimación pasiva o corrección del destinatario del reclamo, cuestión que no es el núcleo de la acción de impugnación de testamento y que, en cualquier caso, no </w:t>
      </w:r>
      <w:r>
        <w:rPr>
          <w:i/>
          <w:lang w:val="es-AR" w:eastAsia="es-AR" w:bidi="es-AR"/>
        </w:rPr>
        <w:t xml:space="preserve">“prueba”</w:t>
      </w:r>
      <w:r>
        <w:rPr>
          <w:lang w:val="es-AR" w:eastAsia="es-AR" w:bidi="es-AR"/>
        </w:rPr>
        <w:t xml:space="preserve"> por sí misma la falta de discernimiento del causante al otorgar la escritura.</w:t>
      </w:r>
    </w:p>
    <w:p>
      <w:pPr>
        <w:pStyle w:val="[Normal]"/>
        <w:spacing w:line="360" w:lineRule="auto"/>
        <w:ind w:firstLine="1134"/>
        <w:jc w:val="both"/>
        <w:rPr>
          <w:lang w:val="es-AR" w:eastAsia="es-AR" w:bidi="es-AR"/>
        </w:rPr>
      </w:pPr>
      <w:r>
        <w:rPr>
          <w:lang w:val="es-AR" w:eastAsia="es-AR" w:bidi="es-AR"/>
        </w:rPr>
        <w:t xml:space="preserve">4) La alegación de la existencia de una “estafa" -por cuanto Faría habría presuntamente reclamado dinero ocultando la existencia del testamento- resulta una cuestión ajena al objeto del litigio y sin incidencia decisiva en la validez testamentaria.  Aún prescindiendo de valoraciones penales -que exceden la competencia y el objeto del juicio civil de impugnación-, esa hipótesis no es apta, por sí sola, para demostrar la ausencia de capacidad del testador.  Es decir, no sustituye la prueba directa o indiciaria robusta que exige desvirtuar un acto público testamentario por falta de razón.</w:t>
      </w:r>
    </w:p>
    <w:p>
      <w:pPr>
        <w:pStyle w:val="[Normal]"/>
        <w:spacing w:line="360" w:lineRule="auto"/>
        <w:ind w:firstLine="1134"/>
        <w:jc w:val="both"/>
        <w:rPr>
          <w:lang w:val="es-AR" w:eastAsia="es-AR" w:bidi="es-AR"/>
        </w:rPr>
      </w:pPr>
      <w:r>
        <w:rPr>
          <w:lang w:val="es-AR" w:eastAsia="es-AR" w:bidi="es-AR"/>
        </w:rPr>
        <w:t xml:space="preserve">En este sentido, la propia estructura del agravio parece mezclar dos planos distintos: (a) si el testador podía o no testar y (b) si la heredera actuó de mala fe en un reclamo posterior. Aunque (b) pudiera debatirse en su ámbito, no es un atajo probatorio válido para acreditar (a), que sigue exigiendo demostración anclada en el estado mental del causante al 23/11/2019.</w:t>
      </w:r>
    </w:p>
    <w:p>
      <w:pPr>
        <w:pStyle w:val="[Normal]"/>
        <w:spacing w:line="360" w:lineRule="auto"/>
        <w:ind w:firstLine="1134"/>
        <w:jc w:val="both"/>
        <w:rPr>
          <w:lang w:val="es-AR" w:eastAsia="es-AR" w:bidi="es-AR"/>
        </w:rPr>
      </w:pPr>
      <w:r>
        <w:rPr>
          <w:lang w:val="es-AR" w:eastAsia="es-AR" w:bidi="es-AR"/>
        </w:rPr>
        <w:t xml:space="preserve">Este punto es decisivo para resolver el punto de queja: aún si se concediera al reclamo laboral algún valor indiciario de contexto (asistencia, dependencia, conflicto post mortem), su entidad debe ponderarse en relación con la prueba producida sobre lucidez/deterioro.</w:t>
      </w:r>
    </w:p>
    <w:p>
      <w:pPr>
        <w:pStyle w:val="[Normal]"/>
        <w:spacing w:line="360" w:lineRule="auto"/>
        <w:ind w:firstLine="1134"/>
        <w:jc w:val="both"/>
        <w:rPr>
          <w:lang w:val="es-AR" w:eastAsia="es-AR" w:bidi="es-AR"/>
        </w:rPr>
      </w:pPr>
      <w:r>
        <w:rPr>
          <w:lang w:val="es-AR" w:eastAsia="es-AR" w:bidi="es-AR"/>
        </w:rPr>
        <w:t xml:space="preserve">Aún a riesgo de volverme reiterativo, debo enfatizar que en autos obran elementos que -al menos en la dimensión pericial- no permiten afirmar con certeza la incapacidad mental en el momento del testamento. En particular, la pericia psiquiátrica consigna que no surgen elementos que permitan peritar el estado psíquico del causante, y que no hay datos para suponer ausencia de discernimiento en la fecha relevante. A su vez, declaraciones testimoniales como la de Laura Georgina Bissone describen al causante como </w:t>
      </w:r>
      <w:r>
        <w:rPr>
          <w:i/>
          <w:lang w:val="es-AR" w:eastAsia="es-AR" w:bidi="es-AR"/>
        </w:rPr>
        <w:t xml:space="preserve">“lúcido”</w:t>
      </w:r>
      <w:r>
        <w:rPr>
          <w:lang w:val="es-AR" w:eastAsia="es-AR" w:bidi="es-AR"/>
        </w:rPr>
        <w:t xml:space="preserve">, “ubicado en tiempo y espacio”, con audición normal y capacidad para expresarse, con una afectación más bien física (</w:t>
      </w:r>
      <w:r>
        <w:rPr>
          <w:i/>
          <w:lang w:val="es-AR" w:eastAsia="es-AR" w:bidi="es-AR"/>
        </w:rPr>
        <w:t xml:space="preserve">“denotaba la edad”</w:t>
      </w:r>
      <w:r>
        <w:rPr>
          <w:lang w:val="es-AR" w:eastAsia="es-AR" w:bidi="es-AR"/>
        </w:rPr>
        <w:t xml:space="preserve">). En sentido parcialmente distinto, hay testimonios que aluden a deterioro o desorientación en el </w:t>
      </w:r>
      <w:r>
        <w:rPr>
          <w:i/>
          <w:lang w:val="es-AR" w:eastAsia="es-AR" w:bidi="es-AR"/>
        </w:rPr>
        <w:t xml:space="preserve">“último tiempo”</w:t>
      </w:r>
      <w:r>
        <w:rPr>
          <w:lang w:val="es-AR" w:eastAsia="es-AR" w:bidi="es-AR"/>
        </w:rPr>
        <w:t xml:space="preserve"> (por ejemplo, Saccani). Sin embargo, aún tomados en su mejor luz para la actora, esos dichos requieren anclaje temporal fino (¿cuándo exactamente?), correlación clínica y, sobre todo, no quedan automáticamente reforzados por el hecho de que una cuidadora reclamara una indemnización luego del fallecimiento. Dicho de otro modo: el reclamo laboral no agrega, por sí, la pieza que falta para convertir un cuadro de fragilidad y vejez en certeza de falta de razón al momento de testar.</w:t>
      </w:r>
    </w:p>
    <w:p>
      <w:pPr>
        <w:pStyle w:val="[Normal]"/>
        <w:spacing w:line="360" w:lineRule="auto"/>
        <w:ind w:firstLine="1134"/>
        <w:jc w:val="both"/>
        <w:rPr>
          <w:lang w:val="es-AR" w:eastAsia="es-AR" w:bidi="es-AR"/>
        </w:rPr>
      </w:pPr>
      <w:r>
        <w:rPr>
          <w:lang w:val="es-AR" w:eastAsia="es-AR" w:bidi="es-AR"/>
        </w:rPr>
        <w:t xml:space="preserve">La apelante afirma que el a quo no dio trascendencia a este hecho y que ello la agravia. Empero, no toda omisión de mención equivale a omisión de valoración relevante, y menos aún cuando el hecho invocado carece de aptitud decisiva para modificar la solución.  En ese sentido, aún si se entendiera que el juez de grado no lo trató expresamente, la alzada puede -y debe- evaluar si el elemento es conducente.  Y, conforme el análisis precedente, el episodio del intercambio telegráfico y el expediente laboral n° 48008 no constituye prueba idónea, suficiente ni directamente conectada con el discernimiento del testador al 23/11/2019.</w:t>
      </w:r>
    </w:p>
    <w:p>
      <w:pPr>
        <w:pStyle w:val="[Normal]"/>
        <w:spacing w:line="360" w:lineRule="auto"/>
        <w:ind w:firstLine="1134"/>
        <w:jc w:val="both"/>
        <w:rPr>
          <w:lang w:val="es-AR" w:eastAsia="es-AR" w:bidi="es-AR"/>
        </w:rPr>
      </w:pPr>
      <w:r>
        <w:rPr>
          <w:lang w:val="es-AR" w:eastAsia="es-AR" w:bidi="es-AR"/>
        </w:rPr>
        <w:t xml:space="preserve">A ello se suma que el codemandado escribano, al contestar agravios, rechazó que ese episodio le fuera atribuible o que guarde relación con su actuación notarial, destacando que se trata de un hecho ajeno y posterior, y que su función se vinculó a constatar -en el acto- la voluntad del otorgante.  Esta precisión no resuelve por sí sola la validez del testamento, pero contribuye a encuadrar correctamente el agravio: no puede desplazarse el eje del control de validez del instrumento público hacia un litigio laboral posterior entre particulares.</w:t>
      </w:r>
    </w:p>
    <w:p>
      <w:pPr>
        <w:pStyle w:val="[Normal]"/>
        <w:spacing w:line="360" w:lineRule="auto"/>
        <w:ind w:firstLine="1134"/>
        <w:jc w:val="both"/>
        <w:rPr>
          <w:lang w:val="es-AR" w:eastAsia="es-AR" w:bidi="es-AR"/>
        </w:rPr>
      </w:pPr>
      <w:r>
        <w:rPr>
          <w:lang w:val="es-AR" w:eastAsia="es-AR" w:bidi="es-AR"/>
        </w:rPr>
        <w:t xml:space="preserve">En definitiva, el segundo agravio no logra demostrar error de hecho o de derecho en la sentencia apelada, porque el </w:t>
      </w:r>
      <w:r>
        <w:rPr>
          <w:i/>
          <w:lang w:val="es-AR" w:eastAsia="es-AR" w:bidi="es-AR"/>
        </w:rPr>
        <w:t xml:space="preserve">“reclamo laboral”</w:t>
      </w:r>
      <w:r>
        <w:rPr>
          <w:lang w:val="es-AR" w:eastAsia="es-AR" w:bidi="es-AR"/>
        </w:rPr>
        <w:t xml:space="preserve"> contra la actora, aún tal como es narrado por la apelante: 1) no configura un reconocimiento inequívoco ni una admisión técnicamente eficaz de incapacidad mental del testador; 2) carece de conexión probatoria directa con el discernimiento del causante al momento de otorgar el testamento; y, 3) valorado en conjunto con la prueba pericial y testimonial disponible, no reviste entidad suficiente para desvirtuar la presunción de capacidad ni para imponer una distinta solución (art. 23 del CCyC y art. 386 del CPCC).</w:t>
      </w:r>
    </w:p>
    <w:p>
      <w:pPr>
        <w:pStyle w:val="[Normal]"/>
        <w:spacing w:line="360" w:lineRule="auto"/>
        <w:ind w:firstLine="1134"/>
        <w:jc w:val="both"/>
        <w:rPr>
          <w:lang w:val="es-AR" w:eastAsia="es-AR" w:bidi="es-AR"/>
        </w:rPr>
      </w:pPr>
      <w:r>
        <w:rPr>
          <w:lang w:val="es-AR" w:eastAsia="es-AR" w:bidi="es-AR"/>
        </w:rPr>
        <w:t xml:space="preserve">Por ello, en la línea metodológica que vengo siguiendo, este segundo agravio debe ser desestimado.</w:t>
      </w:r>
    </w:p>
    <w:p>
      <w:pPr>
        <w:pStyle w:val="[Normal]"/>
        <w:spacing w:line="360" w:lineRule="auto"/>
        <w:ind w:firstLine="1134"/>
        <w:jc w:val="both"/>
        <w:rPr>
          <w:lang w:val="es-AR" w:eastAsia="es-AR" w:bidi="es-AR"/>
        </w:rPr>
      </w:pPr>
      <w:r>
        <w:rPr>
          <w:lang w:val="es-AR" w:eastAsia="es-AR" w:bidi="es-AR"/>
        </w:rPr>
        <w:t xml:space="preserve">III.- Por último, el tercer agravio se basa en el cuestionamiento de la verosimilitud del testamento por acto público a partir de una serie de </w:t>
      </w:r>
      <w:r>
        <w:rPr>
          <w:i/>
          <w:lang w:val="es-AR" w:eastAsia="es-AR" w:bidi="es-AR"/>
        </w:rPr>
        <w:t xml:space="preserve">“graves dudas” </w:t>
      </w:r>
      <w:r>
        <w:rPr>
          <w:lang w:val="es-AR" w:eastAsia="es-AR" w:bidi="es-AR"/>
        </w:rPr>
        <w:t xml:space="preserve">relativas a la génesis y desenvolvimiento del acto: quién contactó a la escribanía, quién afrontó los gastos, quién seleccionó a los testigos y cómo el causante habría podido </w:t>
      </w:r>
      <w:r>
        <w:rPr>
          <w:i/>
          <w:lang w:val="es-AR" w:eastAsia="es-AR" w:bidi="es-AR"/>
        </w:rPr>
        <w:t xml:space="preserve">“dictar verbalmente y con visible lucidez”</w:t>
      </w:r>
      <w:r>
        <w:rPr>
          <w:lang w:val="es-AR" w:eastAsia="es-AR" w:bidi="es-AR"/>
        </w:rPr>
        <w:t xml:space="preserve"> sus disposiciones, dadas las limitaciones psicofísicas que describe; añade, además, que los testigos instrumentales habrían tenido vínculos de dependencia o cercanía con la beneficiaria, lo que -según su tesis- restaría credibilidad al acto.</w:t>
      </w:r>
    </w:p>
    <w:p>
      <w:pPr>
        <w:pStyle w:val="[Normal]"/>
        <w:spacing w:line="360" w:lineRule="auto"/>
        <w:ind w:firstLine="1134"/>
        <w:jc w:val="both"/>
        <w:rPr>
          <w:lang w:val="es-AR" w:eastAsia="es-AR" w:bidi="es-AR"/>
        </w:rPr>
      </w:pPr>
      <w:r>
        <w:rPr>
          <w:lang w:val="es-AR" w:eastAsia="es-AR" w:bidi="es-AR"/>
        </w:rPr>
        <w:t xml:space="preserve">Entiendo que el planteo, así formulado, no alcanza para descalificar la eficacia del instrumento ni para demostrar una irregularidad invalidante. En primer término, porque la crítica se estructura, predominantemente, sobre interrogantes más que sobre hechos positivamente acreditados que revelen una anomalía concreta del acto notarial. En la lógica de la impugnación de un testamento por escritura pública, el control judicial exige identificar vicios determinantes (incapacidad al momento del otorgamiento, violencia, dolo/captación de voluntad, falsedad material o ideológica del instrumento, incumplimiento de formalidades esenciales), y demostrar su existencia con prueba idónea; la mera sospecha o la </w:t>
      </w:r>
      <w:r>
        <w:rPr>
          <w:i/>
          <w:lang w:val="es-AR" w:eastAsia="es-AR" w:bidi="es-AR"/>
        </w:rPr>
        <w:t xml:space="preserve">“inverosimilitud”</w:t>
      </w:r>
      <w:r>
        <w:rPr>
          <w:lang w:val="es-AR" w:eastAsia="es-AR" w:bidi="es-AR"/>
        </w:rPr>
        <w:t xml:space="preserve"> postulada desde el relato, sin correlato probatorio suficiente, no desplaza la fuerza probatoria del documento público ni la presunción de regularidad del obrar del oficial autorizante.</w:t>
      </w:r>
    </w:p>
    <w:p>
      <w:pPr>
        <w:pStyle w:val="[Normal]"/>
        <w:spacing w:line="360" w:lineRule="auto"/>
        <w:ind w:firstLine="1134"/>
        <w:jc w:val="both"/>
        <w:rPr>
          <w:lang w:val="es-AR" w:eastAsia="es-AR" w:bidi="es-AR"/>
        </w:rPr>
      </w:pPr>
      <w:r>
        <w:rPr>
          <w:lang w:val="es-AR" w:eastAsia="es-AR" w:bidi="es-AR"/>
        </w:rPr>
        <w:t xml:space="preserve">En esta línea, la propia contestación de demanda de la demandada pone el acento en que la actora </w:t>
      </w:r>
      <w:r>
        <w:rPr>
          <w:i/>
          <w:lang w:val="es-AR" w:eastAsia="es-AR" w:bidi="es-AR"/>
        </w:rPr>
        <w:t xml:space="preserve">“no brinda un detalle o análisis de las supuestas declaraciones falsas o viciadas”</w:t>
      </w:r>
      <w:r>
        <w:rPr>
          <w:lang w:val="es-AR" w:eastAsia="es-AR" w:bidi="es-AR"/>
        </w:rPr>
        <w:t xml:space="preserve"> y que su ataque es </w:t>
      </w:r>
      <w:r>
        <w:rPr>
          <w:i/>
          <w:lang w:val="es-AR" w:eastAsia="es-AR" w:bidi="es-AR"/>
        </w:rPr>
        <w:t xml:space="preserve">“general”</w:t>
      </w:r>
      <w:r>
        <w:rPr>
          <w:lang w:val="es-AR" w:eastAsia="es-AR" w:bidi="es-AR"/>
        </w:rPr>
        <w:t xml:space="preserve"> y carente de sustento; y recuerda la exigencia de una prueba sólida para redargüir de falsedad un instrumento público.  Esta pauta cobra especial relevancia aquí: si lo que se pretende es neutralizar la cláusula notarial relativa a la </w:t>
      </w:r>
      <w:r>
        <w:rPr>
          <w:i/>
          <w:lang w:val="es-AR" w:eastAsia="es-AR" w:bidi="es-AR"/>
        </w:rPr>
        <w:t xml:space="preserve">“visible lucidez”</w:t>
      </w:r>
      <w:r>
        <w:rPr>
          <w:lang w:val="es-AR" w:eastAsia="es-AR" w:bidi="es-AR"/>
        </w:rPr>
        <w:t xml:space="preserve"> o al modo en que el testador exteriorizó su voluntad, no basta con afirmar que </w:t>
      </w:r>
      <w:r>
        <w:rPr>
          <w:i/>
          <w:lang w:val="es-AR" w:eastAsia="es-AR" w:bidi="es-AR"/>
        </w:rPr>
        <w:t xml:space="preserve">“es improbable”</w:t>
      </w:r>
      <w:r>
        <w:rPr>
          <w:lang w:val="es-AR" w:eastAsia="es-AR" w:bidi="es-AR"/>
        </w:rPr>
        <w:t xml:space="preserve">, sino que debe acreditarse que, por su estado y en ese preciso momento, el otorgante carecía de discernimiento, o que el instrumento contiene aserciones contrarias a la realidad por causas específicas (y demostrables) de falsedad.</w:t>
      </w:r>
    </w:p>
    <w:p>
      <w:pPr>
        <w:pStyle w:val="[Normal]"/>
        <w:spacing w:line="360" w:lineRule="auto"/>
        <w:ind w:firstLine="1134"/>
        <w:jc w:val="both"/>
        <w:rPr>
          <w:lang w:val="es-AR" w:eastAsia="es-AR" w:bidi="es-AR"/>
        </w:rPr>
      </w:pPr>
      <w:r>
        <w:rPr>
          <w:lang w:val="es-AR" w:eastAsia="es-AR" w:bidi="es-AR"/>
        </w:rPr>
        <w:t xml:space="preserve">Tampoco es atendible, de por sí, el reproche vinculado al </w:t>
      </w:r>
      <w:r>
        <w:rPr>
          <w:i/>
          <w:lang w:val="es-AR" w:eastAsia="es-AR" w:bidi="es-AR"/>
        </w:rPr>
        <w:t xml:space="preserve">“dictado”</w:t>
      </w:r>
      <w:r>
        <w:rPr>
          <w:lang w:val="es-AR" w:eastAsia="es-AR" w:bidi="es-AR"/>
        </w:rPr>
        <w:t xml:space="preserve"> del testamento. El vocablo “dictar” no debe interpretarse en sentido literal, sino que basta con que el testador pueda impartir instrucciones para que el escribano redactara en forma ordinaria y que la lectura posterior cubriera la etapa preparatoria en presencia de testigos. De allí que el contraste que pretende la actora entre el testamento ológrafo de 2016 y el testamento por escritura pública de 2019, o la afirmación de que el causante no pudo </w:t>
      </w:r>
      <w:r>
        <w:rPr>
          <w:i/>
          <w:lang w:val="es-AR" w:eastAsia="es-AR" w:bidi="es-AR"/>
        </w:rPr>
        <w:t xml:space="preserve">“dictar palabra por palabra”</w:t>
      </w:r>
      <w:r>
        <w:rPr>
          <w:lang w:val="es-AR" w:eastAsia="es-AR" w:bidi="es-AR"/>
        </w:rPr>
        <w:t xml:space="preserve">, no atacan una exigencia formal esencial del acto, en tanto el derecho no requiere esa literalidad para la validez del testamento por acto público.</w:t>
      </w:r>
    </w:p>
    <w:p>
      <w:pPr>
        <w:pStyle w:val="[Normal]"/>
        <w:spacing w:line="360" w:lineRule="auto"/>
        <w:ind w:firstLine="1134"/>
        <w:jc w:val="both"/>
        <w:rPr>
          <w:lang w:val="es-AR" w:eastAsia="es-AR" w:bidi="es-AR"/>
        </w:rPr>
      </w:pPr>
      <w:r>
        <w:rPr>
          <w:lang w:val="es-AR" w:eastAsia="es-AR" w:bidi="es-AR"/>
        </w:rPr>
        <w:t xml:space="preserve">En cuanto a los cuestionamientos sobre quién contactó al escribano, quién pagó los honorarios o quién procuró testigos, se trata -en el plano jurídico- de circunstancias periféricas que, aún de ser ciertas en el sentido insinuado por la apelante, no determinan por sí mismas la nulidad. Pueden, a lo sumo, integrar un haz indiciario si se demostrara que fueron vehículos de captación de voluntad o de supresión de la autonomía del testador; pero esa conclusión no se sigue automáticamente de que un tercero haya colaborado logísticamente en un acto de una persona de edad avanzada. </w:t>
      </w:r>
    </w:p>
    <w:p>
      <w:pPr>
        <w:pStyle w:val="[Normal]"/>
        <w:spacing w:line="360" w:lineRule="auto"/>
        <w:ind w:firstLine="1134"/>
        <w:jc w:val="both"/>
        <w:rPr>
          <w:lang w:val="es-AR" w:eastAsia="es-AR" w:bidi="es-AR"/>
        </w:rPr>
      </w:pPr>
      <w:r>
        <w:rPr>
          <w:lang w:val="es-AR" w:eastAsia="es-AR" w:bidi="es-AR"/>
        </w:rPr>
        <w:t xml:space="preserve">Aquí, además, el escribano demandado brindó una explicación precisa sobre el núcleo de su intervención: afirmó haber mantenido una conversación previa con el testador, haberlo interrogado, y que la expresión clara de los datos personales y de la voluntad dispositiva le generaron convicción sobre la coherencia del razonamiento y el </w:t>
      </w:r>
      <w:r>
        <w:rPr>
          <w:i/>
          <w:lang w:val="es-AR" w:eastAsia="es-AR" w:bidi="es-AR"/>
        </w:rPr>
        <w:t xml:space="preserve">“pleno dominio de sus facultades mentales”</w:t>
      </w:r>
      <w:r>
        <w:rPr>
          <w:lang w:val="es-AR" w:eastAsia="es-AR" w:bidi="es-AR"/>
        </w:rPr>
        <w:t xml:space="preserve">, extremo que -según relata- fue corroborado por los testigos del acto.  A la vez, delimitó su deber funcional: constatar en el momento del otorgamiento que el causante está en condiciones de celebrar el acto y que es su libre voluntad hacerlo, destacando que </w:t>
      </w:r>
      <w:r>
        <w:rPr>
          <w:i/>
          <w:lang w:val="es-AR" w:eastAsia="es-AR" w:bidi="es-AR"/>
        </w:rPr>
        <w:t xml:space="preserve">“todas las demás circunstancias”</w:t>
      </w:r>
      <w:r>
        <w:rPr>
          <w:lang w:val="es-AR" w:eastAsia="es-AR" w:bidi="es-AR"/>
        </w:rPr>
        <w:t xml:space="preserve"> invocadas por la actora resultan ajenas al funcionario.  Esa delimitación es relevante: el eje del control no pasa por reconstruir quién gestionó cada aspecto material, sino por verificar si el acto se otorgó con voluntad y capacidad y sin vicios invalidantes.</w:t>
      </w:r>
    </w:p>
    <w:p>
      <w:pPr>
        <w:pStyle w:val="[Normal]"/>
        <w:spacing w:line="360" w:lineRule="auto"/>
        <w:ind w:firstLine="1134"/>
        <w:jc w:val="both"/>
        <w:rPr>
          <w:lang w:val="es-AR" w:eastAsia="es-AR" w:bidi="es-AR"/>
        </w:rPr>
      </w:pPr>
      <w:r>
        <w:rPr>
          <w:lang w:val="es-AR" w:eastAsia="es-AR" w:bidi="es-AR"/>
        </w:rPr>
        <w:t xml:space="preserve">Respecto de la impugnación de los testigos, la parte actora afirma que una testigo (Ferrari Bravo) se hallaba en situación de discapacidad y dependencia de la demandada y que la otra (Bissoni) era vecina de Faría y mantenía “</w:t>
      </w:r>
      <w:r>
        <w:rPr>
          <w:i/>
          <w:lang w:val="es-AR" w:eastAsia="es-AR" w:bidi="es-AR"/>
        </w:rPr>
        <w:t xml:space="preserve">relación de familiaridad”</w:t>
      </w:r>
      <w:r>
        <w:rPr>
          <w:lang w:val="es-AR" w:eastAsia="es-AR" w:bidi="es-AR"/>
        </w:rPr>
        <w:t xml:space="preserve">. Pero, aún tomando esas afirmaciones en abstracto, lo cierto es que la existencia de cercanía o vínculos sociales no equivale, sin más, a inhabilidad legal ni demuestra falsedad del acto.</w:t>
      </w:r>
    </w:p>
    <w:p>
      <w:pPr>
        <w:pStyle w:val="[Normal]"/>
        <w:spacing w:line="360" w:lineRule="auto"/>
        <w:ind w:firstLine="1134"/>
        <w:jc w:val="both"/>
        <w:rPr>
          <w:lang w:val="es-AR" w:eastAsia="es-AR" w:bidi="es-AR"/>
        </w:rPr>
      </w:pPr>
      <w:r>
        <w:rPr>
          <w:lang w:val="es-AR" w:eastAsia="es-AR" w:bidi="es-AR"/>
        </w:rPr>
        <w:t xml:space="preserve">Para que el argumento sea eficaz debería mostrar, con precisión, cuál sería la prohibición normativa aplicable o qué hecho concreto revela que los testigos no podían cumplir su rol (por ejemplo, que no conocían al testador pese a declararlo, o que no estuvieron presentes, o que declararon falsamente sobre extremos sustanciales), y aportar prueba positiva en ese sentido.  Aquí, la crítica aparece más bien orientada a sembrar sospechas (incluida la referencia a la movilidad de la testigo y a la logística del acto), pero sin una demostración concluyente de que esas circunstancias se tradujeran en una irregularidad esencial o en un vicio de voluntad.</w:t>
      </w:r>
    </w:p>
    <w:p>
      <w:pPr>
        <w:pStyle w:val="[Normal]"/>
        <w:spacing w:line="360" w:lineRule="auto"/>
        <w:ind w:firstLine="1134"/>
        <w:jc w:val="both"/>
        <w:rPr>
          <w:lang w:val="es-AR" w:eastAsia="es-AR" w:bidi="es-AR"/>
        </w:rPr>
      </w:pPr>
      <w:r>
        <w:rPr>
          <w:lang w:val="es-AR" w:eastAsia="es-AR" w:bidi="es-AR"/>
        </w:rPr>
        <w:t xml:space="preserve">Finalmente, corresponde subrayar que la sentencia de grado dejó asentado que se encontraba </w:t>
      </w:r>
      <w:r>
        <w:rPr>
          <w:i/>
          <w:lang w:val="es-AR" w:eastAsia="es-AR" w:bidi="es-AR"/>
        </w:rPr>
        <w:t xml:space="preserve">“despejada la autoría de la firma” </w:t>
      </w:r>
      <w:r>
        <w:rPr>
          <w:lang w:val="es-AR" w:eastAsia="es-AR" w:bidi="es-AR"/>
        </w:rPr>
        <w:t xml:space="preserve">y encuadró el análisis ulterior en la presunción de capacidad y en la carga probatoria de la actora para demostrar falta de razón al momento de testar. Si el ataque al acto notarial se presenta, entonces, como una vía para reinstalar por la puerta de la </w:t>
      </w:r>
      <w:r>
        <w:rPr>
          <w:i/>
          <w:lang w:val="es-AR" w:eastAsia="es-AR" w:bidi="es-AR"/>
        </w:rPr>
        <w:t xml:space="preserve">“inverosimilitud”</w:t>
      </w:r>
      <w:r>
        <w:rPr>
          <w:lang w:val="es-AR" w:eastAsia="es-AR" w:bidi="es-AR"/>
        </w:rPr>
        <w:t xml:space="preserve"> lo que no se acredita por la vía principal (incapacidad/vicio), el agravio no logra su cometido: sin prueba robusta de anomalías del acto o de falsedad ideológica/material, ni demostración concreta de captación de voluntad, la crítica al contexto logístico y a la redacción notarial (</w:t>
      </w:r>
      <w:r>
        <w:rPr>
          <w:i/>
          <w:lang w:val="es-AR" w:eastAsia="es-AR" w:bidi="es-AR"/>
        </w:rPr>
        <w:t xml:space="preserve">“dictó verbalmente…”</w:t>
      </w:r>
      <w:r>
        <w:rPr>
          <w:lang w:val="es-AR" w:eastAsia="es-AR" w:bidi="es-AR"/>
        </w:rPr>
        <w:t xml:space="preserve">) queda en el plano conjetural y no alcanza a derribar la validez del testamento por escritura pública.</w:t>
      </w:r>
    </w:p>
    <w:p>
      <w:pPr>
        <w:pStyle w:val="[Normal]"/>
        <w:spacing w:line="360" w:lineRule="auto"/>
        <w:ind w:firstLine="1134"/>
        <w:jc w:val="both"/>
        <w:rPr>
          <w:lang w:val="es-AR" w:eastAsia="es-AR" w:bidi="es-AR"/>
        </w:rPr>
      </w:pPr>
      <w:r>
        <w:rPr>
          <w:lang w:val="es-AR" w:eastAsia="es-AR" w:bidi="es-AR"/>
        </w:rPr>
        <w:t xml:space="preserve">Por todo ello, este tercer agravio tampoco puede prosperar.  En definitiva, no se advierte la omisión de un </w:t>
      </w:r>
      <w:r>
        <w:rPr>
          <w:i/>
          <w:lang w:val="es-AR" w:eastAsia="es-AR" w:bidi="es-AR"/>
        </w:rPr>
        <w:t xml:space="preserve">“examen crítico”</w:t>
      </w:r>
      <w:r>
        <w:rPr>
          <w:lang w:val="es-AR" w:eastAsia="es-AR" w:bidi="es-AR"/>
        </w:rPr>
        <w:t xml:space="preserve"> decisivo del acto, sino la falta de demostración concreta, por parte de la impugnante, de irregularidades esenciales o vicios jurídicamente relevantes que autoricen a privar de eficacia al testamento otorgado ante escribano y testigos.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actora, 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w:t>
      </w:r>
      <w:r>
        <w:rPr>
          <w:b/>
          <w:lang w:val="es-AR" w:eastAsia="es-AR" w:bidi="es-AR"/>
        </w:rPr>
        <w:t xml:space="preserve"> </w:t>
      </w:r>
      <w:r>
        <w:rPr>
          <w:lang w:val="es-AR" w:eastAsia="es-AR" w:bidi="es-AR"/>
        </w:rPr>
        <w:t xml:space="preserve">actora vencida</w:t>
      </w:r>
      <w:r>
        <w:rPr>
          <w:b/>
          <w:lang w:val="es-AR" w:eastAsia="es-AR" w:bidi="es-AR"/>
        </w:rPr>
        <w:t xml:space="preserve"> </w:t>
      </w:r>
      <w:r>
        <w:rPr>
          <w:lang w:val="es-AR" w:eastAsia="es-AR" w:bidi="es-AR"/>
        </w:rPr>
        <w:t xml:space="preserve">(art.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de apelación interpuesto por la parte actora, confirmando en un todo el pronunciamiento apelado.</w:t>
      </w:r>
    </w:p>
    <w:p>
      <w:pPr>
        <w:pStyle w:val="[Normal]"/>
        <w:spacing w:line="360" w:lineRule="auto"/>
        <w:ind w:firstLine="1134"/>
        <w:jc w:val="both"/>
        <w:rPr>
          <w:lang w:val="es-AR" w:eastAsia="es-AR" w:bidi="es-AR"/>
        </w:rPr>
      </w:pPr>
      <w:r>
        <w:rPr>
          <w:lang w:val="es-AR" w:eastAsia="es-AR" w:bidi="es-AR"/>
        </w:rPr>
        <w:t xml:space="preserve">2) Imponer las costas de Alzada a la parte</w:t>
      </w:r>
      <w:r>
        <w:rPr>
          <w:b/>
          <w:lang w:val="es-AR" w:eastAsia="es-AR" w:bidi="es-AR"/>
        </w:rPr>
        <w:t xml:space="preserve"> </w:t>
      </w:r>
      <w:r>
        <w:rPr>
          <w:lang w:val="es-AR" w:eastAsia="es-AR" w:bidi="es-AR"/>
        </w:rPr>
        <w:t xml:space="preserve">actora vencida</w:t>
      </w:r>
      <w:r>
        <w:rPr>
          <w:b/>
          <w:lang w:val="es-AR" w:eastAsia="es-AR" w:bidi="es-AR"/>
        </w:rPr>
        <w:t xml:space="preserve"> </w:t>
      </w:r>
      <w:r>
        <w:rPr>
          <w:lang w:val="es-AR" w:eastAsia="es-AR" w:bidi="es-AR"/>
        </w:rPr>
        <w:t xml:space="preserve">(art. 68/69 del CPBA).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del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20172037217@NOTIFICACIONES.SCBA.GOV.AR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20315294550@NOTIFICACIONES.SCBA.GOV.AR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27061798337@NOTIFICACIONES.SCBA.GOV.AR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19/02/2026 10:53:27 -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19/02/2026 11:05:00 -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19/02/2026 11:28:05 -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‰7k")è&amp;nE+]Š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237502090006783711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19/02/2026 11:28:28 hs. bajo el número RS-7-2026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