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5892-25</w:t>
      </w:r>
      <w:r>
        <w:rPr>
          <w:lang w:val="es-AR" w:eastAsia="es-AR" w:bidi="es-AR"/>
        </w:rPr>
        <w:t xml:space="preserve"> caratulada </w:t>
      </w:r>
      <w:r>
        <w:rPr>
          <w:b/>
          <w:lang w:val="es-AR" w:eastAsia="es-AR" w:bidi="es-AR"/>
        </w:rPr>
        <w:t xml:space="preserve">"</w:t>
      </w:r>
      <w:r>
        <w:rPr>
          <w:b/>
          <w:color w:val="000000"/>
          <w:lang w:val="es-AR" w:eastAsia="es-AR" w:bidi="es-AR"/>
        </w:rPr>
        <w:t xml:space="preserve">C., S. C. C/ M., W. G. S/INCIDENTE DE ALIMENTOS</w:t>
      </w:r>
      <w:r>
        <w:rPr>
          <w:b/>
          <w:lang w:val="es-AR" w:eastAsia="es-AR" w:bidi="es-AR"/>
        </w:rPr>
        <w:t xml:space="preserve">"</w:t>
      </w:r>
      <w:r>
        <w:rPr>
          <w:lang w:val="es-AR" w:eastAsia="es-AR" w:bidi="es-AR"/>
        </w:rPr>
        <w:t xml:space="preserve">, Expte. N° CO-44729 del Juzgado de Paz Letrado de Colón Departamental,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La señora Juez de la anterior sede hizo lugar a  la demanda de  aumento de cuota alimentaria incoada por la Sra. S.C. C., en favor de su hijo M., F.A., contra el Sr. W. G. M., condenándolo a abonar como nueva obligación alimentaria una cuota que ascienda al treinta por ciento (30%) de los haberes que por todo concepto perciba el demandado. Dispuso que dicha cuota deberá ser abonada mediante retención por el empleador y posterior deposito. La cuota fijada tiene efecto retroactivo a la fecha de inicio de la presente demanda. Aplicó  las  costas  a la parte demandada que resulta vencida. Reguló honorarios a los abogados intervinientes. Difirió la determinación de la cuota de alimentos suplementaria hasta tanto obre liquidación firme.</w:t>
      </w:r>
    </w:p>
    <w:p>
      <w:pPr>
        <w:pStyle w:val="[Normal]"/>
        <w:spacing w:line="360" w:lineRule="auto"/>
        <w:ind w:firstLine="1134"/>
        <w:jc w:val="both"/>
        <w:rPr>
          <w:lang w:val="es-AR" w:eastAsia="es-AR" w:bidi="es-AR"/>
        </w:rPr>
      </w:pPr>
      <w:r>
        <w:rPr>
          <w:lang w:val="es-AR" w:eastAsia="es-AR" w:bidi="es-AR"/>
        </w:rPr>
        <w:t xml:space="preserve">Dicho pronunciamiento es apelado el 26-5-2025 por la parte demandada, concedido en relación el 2-6-2025 y fundado el 10-6-2025, conferido el traslado del memorial el 24-6-2025, el cual quedó incontestado por la contraparte y se dio vista luego a la Asesora de Incapaces, quien al no contestarla en tiempo es el Dr. P. quien solicitó designe nuevo profesional, aceptando el cargo el 15-10-2025 la Dra. M. L. S., presentando su dictamen el 21-10-2025.</w:t>
      </w:r>
    </w:p>
    <w:p>
      <w:pPr>
        <w:pStyle w:val="[Normal]"/>
        <w:spacing w:line="360" w:lineRule="auto"/>
        <w:ind w:firstLine="1134"/>
        <w:jc w:val="both"/>
        <w:rPr>
          <w:lang w:val="es-AR" w:eastAsia="es-AR" w:bidi="es-AR"/>
        </w:rPr>
      </w:pPr>
      <w:r>
        <w:rPr>
          <w:lang w:val="es-AR" w:eastAsia="es-AR" w:bidi="es-AR"/>
        </w:rPr>
        <w:t xml:space="preserve">Ingresados los autos a este Organismo se dicta el llamamiento de autos para sentencia el 4-11-2025, providencia que hallándose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recurrente por lo dispuesto en sentencia la cual resuelve aumentar la cuota alimentaria a su cargo al 30% de los haberes brutos, efectuando sólo las deducciones de Ley, en concepto de alimentos a favor de su hijo menor.</w:t>
      </w:r>
    </w:p>
    <w:p>
      <w:pPr>
        <w:pStyle w:val="[Normal]"/>
        <w:spacing w:line="360" w:lineRule="auto"/>
        <w:ind w:firstLine="1134"/>
        <w:jc w:val="both"/>
        <w:rPr>
          <w:lang w:val="es-AR" w:eastAsia="es-AR" w:bidi="es-AR"/>
        </w:rPr>
      </w:pPr>
      <w:r>
        <w:rPr>
          <w:lang w:val="es-AR" w:eastAsia="es-AR" w:bidi="es-AR"/>
        </w:rPr>
        <w:t xml:space="preserve">En sustento de su crítica recursiva, la parte actora planteó los siguientes puntos de agravio los que pueden resumirse en los siguientes puntos: 1) Desproporción entre los ingresos y la cuota fijada, al considerar que se desempeña como empleado textil, categoría H, percibiendo ingresos que resultan su único sustento, resultando la retención fijada desproporcionada y que le impiden cubrir sus necesidades básicas, atentando contra su derecho al mínimo vital y digno. (art. 14 bis de la Constitución Nacional y art. 6 del Pacto Internacional de Derechos Económicos, Sociales y Culturales).   2) Refiere que lo dispuesto en sentencia desatiende el principio de proporcionalidad y razonabilidad toda vez que no se analizó en debida forma las posibilidades del alimentante y las necesidades del menor, dejando de lado considerar los gastos de su subsistencia y que él contribuye activamente a la crianza de su hijo por otras vías (art. 658 del CCCN).  3) Manifiesta que es un progenitor presente, cumplidor que participa en la vida de su hijo y en su manutención de modo directo y permanente, lo que implica un esfuerzo económico adicional que no se visibiliza en la retención judicial. 4) Achaca que la base de cálculo fijada no contempla otros gastos esenciales que debe afrontar (movilidad, alimentación, servicios), agravando aún más su situación económica, resultando injusta la retención dispuesta.</w:t>
      </w:r>
    </w:p>
    <w:p>
      <w:pPr>
        <w:pStyle w:val="[Normal]"/>
        <w:spacing w:line="360" w:lineRule="auto"/>
        <w:ind w:firstLine="1134"/>
        <w:jc w:val="both"/>
        <w:rPr>
          <w:lang w:val="es-AR" w:eastAsia="es-AR" w:bidi="es-AR"/>
        </w:rPr>
      </w:pPr>
      <w:r>
        <w:rPr>
          <w:lang w:val="es-AR" w:eastAsia="es-AR" w:bidi="es-AR"/>
        </w:rPr>
        <w:t xml:space="preserve">Funda el presente recurso en lo dispuesto por los arts. 658 y 659 del CCCN, arts. 18 y 75 inc. 22 de la CN, y en la doctrina de la Corte Suprema de Justicia de la Nación, sostiene la necesidad de garantizar un mínimo vital y proporcionalidad en la fijación de la cuota alimentaria (Fallos 321:2068; 328:2870; entre otros).</w:t>
      </w:r>
    </w:p>
    <w:p>
      <w:pPr>
        <w:pStyle w:val="[Normal]"/>
        <w:spacing w:line="360" w:lineRule="auto"/>
        <w:ind w:firstLine="1134"/>
        <w:jc w:val="both"/>
        <w:rPr>
          <w:lang w:val="es-AR" w:eastAsia="es-AR" w:bidi="es-AR"/>
        </w:rPr>
      </w:pPr>
      <w:r>
        <w:rPr>
          <w:lang w:val="es-AR" w:eastAsia="es-AR" w:bidi="es-AR"/>
        </w:rPr>
        <w:t xml:space="preserve">Solicita se revoque la sentencia recurrida manteniéndose la cuota alimentaria en el 20% de los haberes netos o se fije un porcentaje razonable y proporcional conforme a la capacidad económica real de su parte como alimentante, y revierta la condena en costas.</w:t>
      </w:r>
    </w:p>
    <w:p>
      <w:pPr>
        <w:pStyle w:val="[Normal]"/>
        <w:spacing w:line="360" w:lineRule="auto"/>
        <w:ind w:firstLine="1134"/>
        <w:jc w:val="both"/>
        <w:rPr>
          <w:lang w:val="es-AR" w:eastAsia="es-AR" w:bidi="es-AR"/>
        </w:rPr>
      </w:pPr>
      <w:r>
        <w:rPr>
          <w:lang w:val="es-AR" w:eastAsia="es-AR" w:bidi="es-AR"/>
        </w:rPr>
        <w:t xml:space="preserve">La Asesora de Incapaces, al contestar el traslado conferido, solicita el rechazo del recurso deducido por el accionante.</w:t>
      </w:r>
    </w:p>
    <w:p>
      <w:pPr>
        <w:pStyle w:val="[Normal]"/>
        <w:spacing w:line="360" w:lineRule="auto"/>
        <w:ind w:firstLine="1134"/>
        <w:jc w:val="both"/>
        <w:rPr>
          <w:lang w:val="es-AR" w:eastAsia="es-AR" w:bidi="es-AR"/>
        </w:rPr>
      </w:pPr>
      <w:r>
        <w:rPr>
          <w:lang w:val="es-AR" w:eastAsia="es-AR" w:bidi="es-AR"/>
        </w:rPr>
        <w:t xml:space="preserve">Entrando a resolver es dable recordar que la posibilidad de modificación de la cuota alimentaria siempre esta al alcance de la parte interesada, la que se encuentra supeditada a la efectiva variación de los presupuestos de hecho que fueron tenidos en cuenta para establecerla originariamente, sea que se modificaran las posibilidades del alimentante o las necesidades del alimentado.-</w:t>
      </w:r>
    </w:p>
    <w:p>
      <w:pPr>
        <w:pStyle w:val="[Normal]"/>
        <w:spacing w:line="360" w:lineRule="auto"/>
        <w:ind w:firstLine="1134"/>
        <w:jc w:val="both"/>
        <w:rPr>
          <w:lang w:val="es-AR" w:eastAsia="es-AR" w:bidi="es-AR"/>
        </w:rPr>
      </w:pPr>
      <w:r>
        <w:rPr>
          <w:lang w:val="es-AR" w:eastAsia="es-AR" w:bidi="es-AR"/>
        </w:rPr>
        <w:t xml:space="preserve">En tal sentido, ha dicho esta Alzada que ...”la cuota alimentaria se mantiene inalterable en tanto subsistan los presupuestos de hecho en virtud de los cuales se la fijó, circunscribiéndose la posibilidad de modificación al cambio de circunstancias en que fuera fundada, ya por la variación del caudal de las partes o la modificación del estado de necesidad del alimentado” (RSD Nº 99-14, del 22 de septiembre de 2014).-</w:t>
      </w:r>
    </w:p>
    <w:p>
      <w:pPr>
        <w:pStyle w:val="[Normal]"/>
        <w:spacing w:line="360" w:lineRule="auto"/>
        <w:ind w:firstLine="1134"/>
        <w:jc w:val="both"/>
        <w:rPr>
          <w:lang w:val="es-AR" w:eastAsia="es-AR" w:bidi="es-AR"/>
        </w:rPr>
      </w:pPr>
      <w:r>
        <w:rPr>
          <w:lang w:val="es-AR" w:eastAsia="es-AR" w:bidi="es-AR"/>
        </w:rPr>
        <w:t xml:space="preserve">Lo que ha de colegirse con el criterio jurisprudencial en cuanto que ...”a los efectos de analizar la procedencia de su aumento, debe tenerse en cuenta el lapso transcurrido desde la oportunidad en que se fijó hasta la actualidad a efectos de demostrar el cambio de las necesidades del menor en base a dos razones: a) la mayor edad del menor determina un aumento en los gastos referidos a la alimentación, vestido y erogaciones tendientes a satisfacer su vida de relación, de manera tal que la cuota alimentaria debe evolucionar en función de ese crecimiento y de las necesidades nuevas derivadas tanto de dichos rubros como de la escolaridad y de la intensificación de todas sus actividades, requiriéndose su adecuación cuando la cuota no responda debidamente a la cobertura de tales necesidades; y b) el poder adquisitivo que no se mantiene incólume en la agitada economía de nuestro país, pudiendo afirmarse que es un hecho publico y notorio que con el transcurso de los años no se adquiere la misma cantidad de bienes y servicios” (CCO102 MP 145389 RSI411-10 10/0810 JUBA B1404630).-</w:t>
      </w:r>
    </w:p>
    <w:p>
      <w:pPr>
        <w:pStyle w:val="[Normal]"/>
        <w:spacing w:line="360" w:lineRule="auto"/>
        <w:ind w:firstLine="1134"/>
        <w:jc w:val="both"/>
        <w:rPr>
          <w:lang w:val="es-AR" w:eastAsia="es-AR" w:bidi="es-AR"/>
        </w:rPr>
      </w:pPr>
      <w:r>
        <w:rPr>
          <w:lang w:val="es-AR" w:eastAsia="es-AR" w:bidi="es-AR"/>
        </w:rPr>
        <w:t xml:space="preserve">En la especie, las constancias obrantes en autos recogida por el aquo surge como antecedentes que en fecha 18/9/2015 la actora en representación de su hijo menor promovió aumento de cuota contra el accionado, quien fuera condenado a abonar $2.200 pesos mensuales o el 20 % de los haberes que perciba en su trabajo, monto que a todas luces resulta desactualizado desde que han transcurrido poco mas de 10 años y con todas las variables económicas atravesadas en ese período, hacen procedente el nuevo pedido de aumento.</w:t>
      </w:r>
    </w:p>
    <w:p>
      <w:pPr>
        <w:pStyle w:val="[Normal]"/>
        <w:spacing w:line="360" w:lineRule="auto"/>
        <w:ind w:firstLine="1134"/>
        <w:jc w:val="both"/>
        <w:rPr>
          <w:lang w:val="es-AR" w:eastAsia="es-AR" w:bidi="es-AR"/>
        </w:rPr>
      </w:pPr>
      <w:r>
        <w:rPr>
          <w:lang w:val="es-AR" w:eastAsia="es-AR" w:bidi="es-AR"/>
        </w:rPr>
        <w:t xml:space="preserve">En efecto, en el caso sub examine han variado en tres aspectos los presupuestos fácticos tenidos en cuenta al momento de fijar los alimentos: </w:t>
      </w:r>
    </w:p>
    <w:p>
      <w:pPr>
        <w:pStyle w:val="[Normal]"/>
        <w:spacing w:line="360" w:lineRule="auto"/>
        <w:ind w:firstLine="1134"/>
        <w:jc w:val="both"/>
        <w:rPr>
          <w:lang w:val="es-AR" w:eastAsia="es-AR" w:bidi="es-AR"/>
        </w:rPr>
      </w:pPr>
      <w:r>
        <w:rPr>
          <w:lang w:val="es-AR" w:eastAsia="es-AR" w:bidi="es-AR"/>
        </w:rPr>
        <w:t xml:space="preserve">1) Por un lado el tiempo transcurrido, que conlleva la variación del poder adquisitivo del dinero, que por la inflación de público conocimiento acarrea (10 años desde que se fijó) lo que, sumado a la evolución en la edad del menor, trae con ello una modificación de las necesidades para con el mismo, quien ha crecido y con ello ha cambiado sus requerimientos, que deben ser cubiertas por ambos progenitores.-</w:t>
      </w:r>
    </w:p>
    <w:p>
      <w:pPr>
        <w:pStyle w:val="[Normal]"/>
        <w:spacing w:line="360" w:lineRule="auto"/>
        <w:ind w:firstLine="1134"/>
        <w:jc w:val="both"/>
        <w:rPr>
          <w:lang w:val="es-AR" w:eastAsia="es-AR" w:bidi="es-AR"/>
        </w:rPr>
      </w:pPr>
      <w:r>
        <w:rPr>
          <w:lang w:val="es-AR" w:eastAsia="es-AR" w:bidi="es-AR"/>
        </w:rPr>
        <w:t xml:space="preserve">2) No demás esta sumar aquí que el niño posee un diagnóstico de autismo de la niñez. Retraso mental no especificado, conforme fuera acreditado con el certificado de discapacidad emitido el 3/1/2022 y el cual se encuentra vigente hasta el 30/12/2029, por el cual realiza un tratamiento, lo que implica mayor dedicación del progenitor conviviente. Tal patología no existía en el año 2015 cuando fue fijada la cuota alimentaria que se pretende aumentar por el presente incidente.</w:t>
      </w:r>
    </w:p>
    <w:p>
      <w:pPr>
        <w:pStyle w:val="[Normal]"/>
        <w:spacing w:line="360" w:lineRule="auto"/>
        <w:ind w:firstLine="1134"/>
        <w:jc w:val="both"/>
        <w:rPr>
          <w:color w:val="000000"/>
          <w:lang w:val="es-AR" w:eastAsia="es-AR" w:bidi="es-AR"/>
        </w:rPr>
      </w:pPr>
      <w:r>
        <w:rPr>
          <w:lang w:val="es-AR" w:eastAsia="es-AR" w:bidi="es-AR"/>
        </w:rPr>
        <w:t xml:space="preserve">Hemos dicho desde esta Alzada y analizando el quantum de la cuota que debe considerarse</w:t>
      </w:r>
      <w:r>
        <w:rPr>
          <w:i/>
          <w:lang w:val="es-AR" w:eastAsia="es-AR" w:bidi="es-AR"/>
        </w:rPr>
        <w:t xml:space="preserve"> "</w:t>
      </w:r>
      <w:r>
        <w:rPr>
          <w:i/>
          <w:color w:val="000000"/>
          <w:lang w:val="es-AR" w:eastAsia="es-AR" w:bidi="es-AR"/>
        </w:rPr>
        <w:t xml:space="preserve">La contribución que realiza la progenitora que ejerce la tenencia de la hija, pues debe considerarse a tal fin que la misma no sólo es comprensiva de una faz económica sino de numerosas prestaciones en especie, a través de los cuidados, atenciones y educación proporcionados a la misma en su vida cotidiana, que le insumen tiempo y esfuerzo. Si bien ello no la libera de su propia obligación alimentaria, constituye un elemento a tener en cuenta para fijar el importe de la cuota que debe abonar el progenitor no conviviente quien por no estar afectado a tales funciones goza de mayor disponibilidad para dedicarse a su vida laboral. Y por las mismas razones, resultan de peso las contribuciones que el progenitor conviviente realiza en la especie a través de la atención que conlleva el cuidado cotidiano de la hija.</w:t>
      </w:r>
      <w:r>
        <w:rPr>
          <w:color w:val="000000"/>
          <w:lang w:val="es-AR" w:eastAsia="es-AR" w:bidi="es-AR"/>
        </w:rPr>
        <w:t xml:space="preserve"> (Confr. esta Cám. causa 5872 </w:t>
      </w:r>
      <w:r>
        <w:rPr>
          <w:lang w:val="es-AR" w:eastAsia="es-AR" w:bidi="es-AR"/>
        </w:rPr>
        <w:t xml:space="preserve">RS-183-2025</w:t>
      </w:r>
      <w:r>
        <w:rPr>
          <w:color w:val="000000"/>
          <w:lang w:val="es-AR" w:eastAsia="es-AR" w:bidi="es-AR"/>
        </w:rPr>
        <w:t xml:space="preserve"> ent. ots.)".-</w:t>
      </w:r>
    </w:p>
    <w:p>
      <w:pPr>
        <w:pStyle w:val="[Normal]"/>
        <w:spacing w:line="360" w:lineRule="auto"/>
        <w:ind w:firstLine="1134"/>
        <w:jc w:val="both"/>
        <w:rPr>
          <w:color w:val="000000"/>
          <w:lang w:val="es-AR" w:eastAsia="es-AR" w:bidi="es-AR"/>
        </w:rPr>
      </w:pPr>
      <w:r>
        <w:rPr>
          <w:color w:val="000000"/>
          <w:lang w:val="es-AR" w:eastAsia="es-AR" w:bidi="es-AR"/>
        </w:rPr>
        <w:t xml:space="preserve">Respecto al niño y su progenitora ambos conviven y tiene aquel con el progenitor un régimen de comunicación establecido judicialmente como surge de la causa que tramitó por ante esta Alzada (CAP 4164/2021), y de la cual se desprende que determinados días de la semana el menor se encuentra a cargo del Sr. M., lo que condice con los dichos de éste último de que es un padre presente. </w:t>
      </w:r>
    </w:p>
    <w:p>
      <w:pPr>
        <w:pStyle w:val="[Normal]"/>
        <w:spacing w:line="360" w:lineRule="auto"/>
        <w:ind w:firstLine="1134"/>
        <w:jc w:val="both"/>
        <w:rPr>
          <w:color w:val="000000"/>
          <w:lang w:val="es-AR" w:eastAsia="es-AR" w:bidi="es-AR"/>
        </w:rPr>
      </w:pPr>
      <w:r>
        <w:rPr>
          <w:color w:val="000000"/>
          <w:lang w:val="es-AR" w:eastAsia="es-AR" w:bidi="es-AR"/>
        </w:rPr>
        <w:t xml:space="preserve">Si bien no existe evidencia de incumplimiento del régimen allí establecido, puedo señalar que como en la mayoría de los casos en donde existen niños con capacidades diferentes, son las madres quien se llevan el mayor trabajo de coordinar las terapias, los turnos, la compra de medicamentos, lo que debe ser reconocido al momento de cuantificar los alimentos en favor del niño.</w:t>
      </w:r>
    </w:p>
    <w:p>
      <w:pPr>
        <w:pStyle w:val="[Normal]"/>
        <w:spacing w:line="360" w:lineRule="auto"/>
        <w:ind w:firstLine="1134"/>
        <w:jc w:val="both"/>
        <w:rPr>
          <w:color w:val="000000"/>
          <w:lang w:val="es-AR" w:eastAsia="es-AR" w:bidi="es-AR"/>
        </w:rPr>
      </w:pPr>
      <w:r>
        <w:rPr>
          <w:color w:val="000000"/>
          <w:lang w:val="es-AR" w:eastAsia="es-AR" w:bidi="es-AR"/>
        </w:rPr>
        <w:t xml:space="preserve">A lo que debe adunarse, la fuerte protección dada por la Convención de los Derechos del Niño, la Convención sobre la Discapacidad, y la Ley de Salud Mental de nuestro país que ponen el centro del interés en la persona vulnerable.</w:t>
      </w:r>
      <w:r>
        <w:rPr>
          <w:b/>
          <w:lang w:val="es-AR" w:eastAsia="es-AR" w:bidi="es-AR"/>
        </w:rPr>
        <w:t xml:space="preserve"> </w:t>
      </w:r>
      <w:r>
        <w:rPr>
          <w:color w:val="000000"/>
          <w:lang w:val="es-AR" w:eastAsia="es-AR" w:bidi="es-AR"/>
        </w:rPr>
        <w:t xml:space="preserve">Lo que deja en evidencia que debe tener un tratamiento diferencial y de protección, conforme lo establecen los Arts. 75 inc. 22 y 23 de la Constitución Nacional, Art. 36 de la Constitución Pcial, Arts. 2, 12, 24 Convención sobre los Derechos de las Personas con discapacidad, Arts. 31/32, 35/40 y 43 y conc. del C.C.C..-</w:t>
      </w:r>
    </w:p>
    <w:p>
      <w:pPr>
        <w:pStyle w:val="[Normal]"/>
        <w:spacing w:line="360" w:lineRule="auto"/>
        <w:ind w:firstLine="1134"/>
        <w:jc w:val="both"/>
        <w:rPr>
          <w:lang w:val="es-AR" w:eastAsia="es-AR" w:bidi="es-AR"/>
        </w:rPr>
      </w:pPr>
      <w:r>
        <w:rPr>
          <w:color w:val="000000"/>
          <w:lang w:val="es-AR" w:eastAsia="es-AR" w:bidi="es-AR"/>
        </w:rPr>
        <w:t xml:space="preserve">La afección que padece el hijo de las partes insume sin duda alguna empeño y cuidados cotidianos por parte de la progenitora, quien convive la mayoría del tiempo con el menor.- </w:t>
      </w:r>
    </w:p>
    <w:p>
      <w:pPr>
        <w:pStyle w:val="[Normal]"/>
        <w:spacing w:line="360" w:lineRule="auto"/>
        <w:ind w:firstLine="1134"/>
        <w:jc w:val="both"/>
        <w:rPr>
          <w:lang w:val="es-AR" w:eastAsia="es-AR" w:bidi="es-AR"/>
        </w:rPr>
      </w:pPr>
      <w:r>
        <w:rPr>
          <w:lang w:val="es-AR" w:eastAsia="es-AR" w:bidi="es-AR"/>
        </w:rPr>
        <w:t xml:space="preserve">Si bien la obligación alimentaria corresponde a ambos progenitores en la proporción de sus respectivos ingresos, debe considerarse especialmente la contribución del progenitor con quien los hijos residen de manera principal (doctr. art. 650 y ccs. del CCC), pues éste realiza aportes en especie de significación económica, además de la atención que presta al hijo en los múltiples requerimientos cotidianos, y que implica una inversión de tiempo a la que debe atribuírsele valor.- </w:t>
      </w:r>
    </w:p>
    <w:p>
      <w:pPr>
        <w:pStyle w:val="[Normal]"/>
        <w:spacing w:line="360" w:lineRule="auto"/>
        <w:ind w:firstLine="1134"/>
        <w:jc w:val="both"/>
        <w:rPr>
          <w:lang w:val="es-AR" w:eastAsia="es-AR" w:bidi="es-AR"/>
        </w:rPr>
      </w:pPr>
      <w:r>
        <w:rPr>
          <w:color w:val="000000"/>
          <w:lang w:val="es-AR" w:eastAsia="es-AR" w:bidi="es-AR"/>
        </w:rPr>
        <w:t xml:space="preserve">3) El monto de la prestación alimentaria debe determinarse atendiendo el interés superior del niño y su derecho al sustento y a un nivel de vida adecuado (arts. 3 inc. 1, 6, 24, 27 inc. 1, 28 y 31 de la CDN; art. 75 inc. 22 CN). A lo que debe adunarse, que </w:t>
      </w:r>
      <w:r>
        <w:rPr>
          <w:lang w:val="es-AR" w:eastAsia="es-AR" w:bidi="es-AR"/>
        </w:rPr>
        <w:t xml:space="preserve">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w:t>
      </w:r>
    </w:p>
    <w:p>
      <w:pPr>
        <w:pStyle w:val="[Normal]"/>
        <w:spacing w:line="360" w:lineRule="auto"/>
        <w:ind w:firstLine="1134"/>
        <w:jc w:val="both"/>
        <w:rPr>
          <w:lang w:val="es-AR" w:eastAsia="es-AR" w:bidi="es-AR"/>
        </w:rPr>
      </w:pPr>
      <w:r>
        <w:rPr>
          <w:lang w:val="es-AR" w:eastAsia="es-AR" w:bidi="es-AR"/>
        </w:rPr>
        <w:t xml:space="preserve">Cuando el niño tenia 5 años, el 20% del monto que percibía de remuneración el progenitor resultaba suficiente. Ahora bien, ya siendo un adolescente de 15 años amerita mayores gastos referidos a los gastos cotidianos, educación ya que cursa el secundario, esparcimiento pues ya tiene mas autonomía para relacionarse y salir con sus amistades, vestimenta, habitación, asistencia y gastos generados por la patología arriba enunciada, extremo que justifica el aumento establecido.</w:t>
      </w:r>
    </w:p>
    <w:p>
      <w:pPr>
        <w:pStyle w:val="[Normal]"/>
        <w:spacing w:line="360" w:lineRule="auto"/>
        <w:ind w:firstLine="1134"/>
        <w:jc w:val="both"/>
        <w:rPr>
          <w:lang w:val="es-AR" w:eastAsia="es-AR" w:bidi="es-AR"/>
        </w:rPr>
      </w:pPr>
      <w:r>
        <w:rPr>
          <w:lang w:val="es-AR" w:eastAsia="es-AR" w:bidi="es-AR"/>
        </w:rPr>
        <w:t xml:space="preserve">Por otro lado, he de analizar la capacidad económica del alimentante sobre quien he de considerar que es un sujeto que tiene 57 años de edad, se encuentra con todas sus facultades y trabajando en relación de dependencia en la empresa C. A. M. y Cia. S.A., de acuerdo a lo que surge de la contestación de oficio agregada en fecha 20/10/2023. Que mediante la retención realizada en su recibo de sueldo, se viene cumpliendo la cuota fijada en su oportunidad.</w:t>
      </w:r>
    </w:p>
    <w:p>
      <w:pPr>
        <w:pStyle w:val="[Normal]"/>
        <w:spacing w:line="360" w:lineRule="auto"/>
        <w:ind w:firstLine="1134"/>
        <w:jc w:val="both"/>
        <w:rPr>
          <w:lang w:val="es-AR" w:eastAsia="es-AR" w:bidi="es-AR"/>
        </w:rPr>
      </w:pPr>
      <w:r>
        <w:rPr>
          <w:lang w:val="es-AR" w:eastAsia="es-AR" w:bidi="es-AR"/>
        </w:rPr>
        <w:t xml:space="preserve">Ello surge de las retenciones depositadas en la cuenta judicial de autos, Cuenta N° 501294/2 sucursal N°6544, de la que se desprende un cumplimiento regular de su obligación (Cfr. constancias electrónicas visualizadas en https://saldos.scba.gov.ar /ConsultaCuentas.aspx). </w:t>
      </w:r>
    </w:p>
    <w:p>
      <w:pPr>
        <w:pStyle w:val="[Normal]"/>
        <w:spacing w:line="360" w:lineRule="auto"/>
        <w:ind w:firstLine="1134"/>
        <w:jc w:val="both"/>
        <w:rPr>
          <w:lang w:val="es-AR" w:eastAsia="es-AR" w:bidi="es-AR"/>
        </w:rPr>
      </w:pPr>
      <w:r>
        <w:rPr>
          <w:lang w:val="es-AR" w:eastAsia="es-AR" w:bidi="es-AR"/>
        </w:rPr>
        <w:t xml:space="preserve">No demás esta aquí mencionar que el demandado es un padre presente que tiene en vigencia un régimen de cuidado establecido judicialmente, lo que me lleva a presumir que los días que el niño está con su padre es él quien afronta los gastos por su cuidado y alimentación. Lo que me lleva a concluir, que el porcentaje de aumento establecido por el juzgador resulta elevado, pues analizando los montos retenidos, saldo que le quedaría del sueldo resultan escasos para afrontar los gastos para la subsistencia del demandado, más aún con el aumento del costo de vida que es de publico y notorio conocimiento.</w:t>
      </w:r>
    </w:p>
    <w:p>
      <w:pPr>
        <w:pStyle w:val="[Normal]"/>
        <w:spacing w:line="360" w:lineRule="auto"/>
        <w:ind w:firstLine="1134"/>
        <w:jc w:val="both"/>
        <w:rPr>
          <w:lang w:val="es-AR" w:eastAsia="es-AR" w:bidi="es-AR"/>
        </w:rPr>
      </w:pPr>
      <w:r>
        <w:rPr>
          <w:lang w:val="es-AR" w:eastAsia="es-AR" w:bidi="es-AR"/>
        </w:rPr>
        <w:t xml:space="preserve">Dicho lo anterior, he de considerar que todas las cuestiones hasta aquí apuntadas, dejan en evidencia un claro cambio en la plataforma fáctica considerada por al momento de fijar el aumento de los alimentos definitivos realizado en el año 2015, y ante el pedido formulado por el incidentista, corresponde un aumento, pero no en el porcentaje fijado en la anterior sede.</w:t>
      </w:r>
    </w:p>
    <w:p>
      <w:pPr>
        <w:pStyle w:val="[Normal]"/>
        <w:spacing w:line="360" w:lineRule="auto"/>
        <w:ind w:firstLine="1134"/>
        <w:jc w:val="both"/>
        <w:rPr>
          <w:lang w:val="es-AR" w:eastAsia="es-AR" w:bidi="es-AR"/>
        </w:rPr>
      </w:pPr>
      <w:r>
        <w:rPr>
          <w:lang w:val="es-AR" w:eastAsia="es-AR" w:bidi="es-AR"/>
        </w:rPr>
        <w:t xml:space="preserve">Ello en razón de que las cuotas de alimentos deben fijarse teniendo en cuenta el caudal y condición social del alimentante obligado a prestarlas - quién posee un trabajo registrado -, las necesidades del alimentado, su edad y en la especie la discapacidad, lo que me llevan a proponer al acuerdo la confirmación del fallo en lo principal que decide y modificando el porcentaje establecido para la obligación alimentaria en cabeza del Sr. W. G. M. la que se reduce al 25 % de los haberes que perciba mensualmente como empleado. </w:t>
      </w:r>
    </w:p>
    <w:p>
      <w:pPr>
        <w:pStyle w:val="[Normal]"/>
        <w:spacing w:line="360" w:lineRule="auto"/>
        <w:ind w:firstLine="1134"/>
        <w:jc w:val="both"/>
        <w:rPr>
          <w:lang w:val="es-AR" w:eastAsia="es-AR" w:bidi="es-AR"/>
        </w:rPr>
      </w:pPr>
      <w:r>
        <w:rPr>
          <w:lang w:val="es-AR" w:eastAsia="es-AR" w:bidi="es-AR"/>
        </w:rPr>
        <w:t xml:space="preserve">Finalmente, en cuanto a las costas, esta Alzada ha aplicado reiteradamente el criterio de que en materia de alimentos, son en principio a cargo del alimentante pues de lo contrario se desvirtuaría la esencia de la prestación, al gravarse cuotas cuya percepción se presume como una necesidad de subsistencia (art. 374 del Código Civil). (confr. causas C-6376, RSD 36/08; Nº 735/10 RSD 11/11; Nº 1571/12 RSD 51/13; Nº 2020/14 RSI 39/2014, ent. ots.). Es que se trata de resguardar la incolumnidad que debe guardar la prestación debida en razón de su destino.  Por ello, para apartarse de este principio, es necesario que la parte alimentada haya obrado sin razón o con una negligencia manifiesta al formular su pretensión.". (Cám. Civ. y Com. sala 2 SM causa 58119 RSD 193/06; JUBA B 200360).  Y no es éste el caso.-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H.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w:t>
      </w:r>
      <w:r>
        <w:rPr>
          <w:b/>
          <w:lang w:val="es-AR" w:eastAsia="es-AR" w:bidi="es-AR"/>
        </w:rPr>
        <w:t xml:space="preserve">SEGUNDA CUESTION</w:t>
      </w:r>
      <w:r>
        <w:rPr>
          <w:lang w:val="es-AR" w:eastAsia="es-AR" w:bidi="es-AR"/>
        </w:rPr>
        <w:t xml:space="preserve"> el señor Juez Roberto M.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promovido por el Sr. W. G. M. y revocar el porcentaje de aumento determinado por el Juez de Familia en el punto 2) del fallo, fijándolo en el 25 % de los haberes que por todo concepto perciba como empleado en relación de dependencia y en favor del menor M.F.A., confirmando la modalidad y el resto del decisorio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H.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el recurso de apelación promovido por el Sr. W. G. M. y revocar el porcentaje de aumento determinado por el Juez de Familia en el punto 2) del fallo, fijándolo en el 25 % de los haberes que por todo concepto perciba como empleado en relación de dependencia y en favor del menor M.F.A., confirmando la modalidad y el resto del decisorio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