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5943-25</w:t>
      </w:r>
      <w:r>
        <w:rPr>
          <w:lang w:val="es-AR" w:eastAsia="es-AR" w:bidi="es-AR"/>
        </w:rPr>
        <w:t xml:space="preserve"> caratulada </w:t>
      </w:r>
      <w:r>
        <w:rPr>
          <w:b/>
          <w:lang w:val="es-AR" w:eastAsia="es-AR" w:bidi="es-AR"/>
        </w:rPr>
        <w:t xml:space="preserve">"</w:t>
      </w:r>
      <w:r>
        <w:rPr>
          <w:b/>
          <w:color w:val="000000"/>
          <w:lang w:val="es-AR" w:eastAsia="es-AR" w:bidi="es-AR"/>
        </w:rPr>
        <w:t xml:space="preserve">B., L. M. C/ O., D. S/ INCIDENTE DE ALIMENTOS</w:t>
      </w:r>
      <w:r>
        <w:rPr>
          <w:b/>
          <w:lang w:val="es-AR" w:eastAsia="es-AR" w:bidi="es-AR"/>
        </w:rPr>
        <w:t xml:space="preserve">"</w:t>
      </w:r>
      <w:r>
        <w:rPr>
          <w:lang w:val="es-AR" w:eastAsia="es-AR" w:bidi="es-AR"/>
        </w:rPr>
        <w:t xml:space="preserve">, Expte. </w:t>
      </w:r>
      <w:r>
        <w:rPr>
          <w:color w:val="000000"/>
          <w:lang w:val="es-AR" w:eastAsia="es-AR" w:bidi="es-AR"/>
        </w:rPr>
        <w:t xml:space="preserve">47.096</w:t>
      </w:r>
      <w:r>
        <w:rPr>
          <w:color w:val="000000"/>
          <w:lang w:val="es-AR" w:eastAsia="es-AR" w:bidi="es-AR"/>
        </w:rPr>
        <w:t xml:space="preserve"> </w:t>
      </w:r>
      <w:r>
        <w:rPr>
          <w:lang w:val="es-AR" w:eastAsia="es-AR" w:bidi="es-AR"/>
        </w:rPr>
        <w:t xml:space="preserve">del Juzgado de Paz de Colón,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hizo lugar parcialmente a la demanda de aumento de cuota alimentaria incoada por la Sra. L. M. B., para su hijo R.O.B. contra el Sr. D. O..  Condenó al  Sr. D. O.  a abonar como nueva obligación alimentaria la cuota mensual que ascienda al treinta por ciento (30%) de la canasta de crianza de la primera infancia, la niñez y la adolescencia, correspondiente a la franja etaria del niño y vigente al momento del la exigibilidad de la cuota. La misma  debe ser abonada de igual  forma que la anterior, ello es mediante depósito en cuenta judicial abierta, del 1 -10 de cada mes y la del mes en curso dentro de los 10 días de notificada la presente bajo apercibimiento de ejecución. La asignación familiar y/o asignación universal por hijo y/o cualquier suma o beneficio que se dirija al menor de edad sera percibida por su madre.  La cuota fijada tiene efecto retroactivo a la fecha de inicio de la presente demanda.  Aplicó  las  costas  a la parte demandada que resulta vencida (Art. 68 C.P.C.).  Difirió la determinación de la cuota suplementaria de alimentos hasta tanto obre en autos liquidación firme practicada por la parte interesada. En resolución separada se procede a la regulación de las Defensores y Asesora Ad Hoc.  Reguló los honorarios del Dr. Gerardo Martín Soria por las tareas desarrolladas en autos en la suma de Ocho (8) JUS más el Diez por ciento (10%) en concepto de aportes previsionales e IVA en caso de corresponder, en un todo conforme con los arts. 1,15,16,21,24,39 y ccs. de la 14.967 y art. 12 y ccs. de la ley 6716.-</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27-8-2025 por la parte actora, concedido el 4-9-2025 en relación y con efecto no suspensivo y del mismo traslado a la contraparte. El 25-9-2025 vista a la Sra. Asesora, quien el 21-10-2025 la evacuo.  Elevados los autos a esta Alzada con fecha 16-12-2025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la quejosa contra el porcentaje fijado señalando que es insuficiente, solicitando o bien un salario mínimo vital y móvil o en subsidio el 60% de la canasta de crianza; indicando que no se ha valorado adecuadamente el silencio del demandado, el dictamen favorable de la Asesora de Incapaces, denuncia vulneración del principio de congruencia porque el aquo se apartó de su pedido indicando que la cuota es irrisoria, que el progenitor no colabora, la existencia de una desproporción entre los ingresos del progenitor y la fijada, la protección del interés superior del niño y la invisibilización del valor económico del trabajo materno así como la evidencia del poder adquisitivo del demandado quien contrató a un abogado particular.-</w:t>
      </w:r>
    </w:p>
    <w:p>
      <w:pPr>
        <w:pStyle w:val="[Normal]"/>
        <w:spacing w:line="360" w:lineRule="auto"/>
        <w:ind w:firstLine="1134"/>
        <w:jc w:val="both"/>
        <w:rPr>
          <w:lang w:val="es-AR" w:eastAsia="es-AR" w:bidi="es-AR"/>
        </w:rPr>
      </w:pPr>
      <w:r>
        <w:rPr>
          <w:lang w:val="es-AR" w:eastAsia="es-AR" w:bidi="es-AR"/>
        </w:rPr>
        <w:t xml:space="preserve"> Entrando a resolver, resulta dable recordar que la posibilidad de modificación de la cuota alimentaria siempre esta al alcance de la parte interesada, la que se encuentra supeditada a la efectiva variación de los presupuestos de hecho que fueron tenidos en cuenta para establecerla originariamente, sea que se modificaran las posibilidades del alimentante o las necesidades del alimentado.-</w:t>
      </w:r>
    </w:p>
    <w:p>
      <w:pPr>
        <w:pStyle w:val="[Normal]"/>
        <w:spacing w:line="360" w:lineRule="auto"/>
        <w:ind w:firstLine="1134"/>
        <w:jc w:val="both"/>
        <w:rPr>
          <w:lang w:val="es-AR" w:eastAsia="es-AR" w:bidi="es-AR"/>
        </w:rPr>
      </w:pPr>
      <w:r>
        <w:rPr>
          <w:lang w:val="es-AR" w:eastAsia="es-AR" w:bidi="es-AR"/>
        </w:rPr>
        <w:t xml:space="preserve">En tal sentido, ha dicho esta Alzada que ...”la cuota alimentaria se mantiene inalterable en tanto subsistan los presupuestos de hecho en virtud de los cuales se la fijó, circunscribiéndose la posibilidad de modificación al cambio de circunstancias en que fuera fundada, ya por la variación del caudal de las partes o la modificación del estado de necesidad del alimentado” (RSD Nº 99-14, del 22 de septiembre de 2014).-</w:t>
      </w:r>
    </w:p>
    <w:p>
      <w:pPr>
        <w:pStyle w:val="[Normal]"/>
        <w:spacing w:line="360" w:lineRule="auto"/>
        <w:ind w:firstLine="1134"/>
        <w:jc w:val="both"/>
        <w:rPr>
          <w:lang w:val="es-AR" w:eastAsia="es-AR" w:bidi="es-AR"/>
        </w:rPr>
      </w:pPr>
      <w:r>
        <w:rPr>
          <w:lang w:val="es-AR" w:eastAsia="es-AR" w:bidi="es-AR"/>
        </w:rPr>
        <w:t xml:space="preserve">Lo que ha de colegirse con el criterio jurisprudencial atingente a que ...”a los efectos de analizar la procedencia de su aumento, debe tenerse en cuenta el lapso transcurrido desde la oportunidad en que se fijo hasta la actualidad a efectos de demostrar el cambio de las necesidades del menor en base a dos razones: a) la mayor edad del menor determina un aumento en los gastos referidos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 y b) el poder adquisitivo que no se mantiene incolumne en la agitada economía de nuestro país, pudiendo afirmarse que es un hecho publico y notorio que con el transcurso de los años no se adquiere la misma cantidad de bienes y servicios” (CCO102 MP 145389 RSI411-10 10/0810 JUBA B1404630).-</w:t>
      </w:r>
    </w:p>
    <w:p>
      <w:pPr>
        <w:pStyle w:val="[Normal]"/>
        <w:spacing w:line="360" w:lineRule="auto"/>
        <w:ind w:firstLine="1134"/>
        <w:jc w:val="both"/>
        <w:rPr>
          <w:lang w:val="es-AR" w:eastAsia="es-AR" w:bidi="es-AR"/>
        </w:rPr>
      </w:pPr>
      <w:r>
        <w:rPr>
          <w:lang w:val="es-AR" w:eastAsia="es-AR" w:bidi="es-AR"/>
        </w:rPr>
        <w:t xml:space="preserve">En la especie, de las constancias obrantes en autos surge que el decisorio de grado admitió el aumento de cuota pedido por la actora fijando el 30% de la canasta de crianza de la primera infancia, correspondiente a la franja etaria del niño y vigente al momento de exigibilidad de la cuota más la quejosa pretende el 60% de esa variable.-</w:t>
      </w:r>
    </w:p>
    <w:p>
      <w:pPr>
        <w:pStyle w:val="[Normal]"/>
        <w:spacing w:line="360" w:lineRule="auto"/>
        <w:ind w:firstLine="1134"/>
        <w:jc w:val="both"/>
        <w:rPr>
          <w:lang w:val="es-AR" w:eastAsia="es-AR" w:bidi="es-AR"/>
        </w:rPr>
      </w:pPr>
      <w:r>
        <w:rPr>
          <w:lang w:val="es-AR" w:eastAsia="es-AR" w:bidi="es-AR"/>
        </w:rPr>
        <w:t xml:space="preserve">En el caso sub examine, han variado en dos aspectos los presupuestos fácticos tenidos en cuenta al momento del acuerdo: por un lado el tiempo transcurrido, que conlleva la variación del poder adquisitivo del dinero, que por la inflación de público conocimiento lleva a un incremento, habiendo valorado el aquo que la primer cuota homologada fue en fecha 11/07/2023 lo que, sumado a la evolución en la edad del niño, trae con ello una modificación de las necesidades para con el mismo que deben ser cubiertas por ambos progenitores.-</w:t>
      </w:r>
    </w:p>
    <w:p>
      <w:pPr>
        <w:pStyle w:val="[Normal]"/>
        <w:spacing w:line="360" w:lineRule="auto"/>
        <w:ind w:firstLine="1134"/>
        <w:jc w:val="both"/>
        <w:rPr>
          <w:lang w:val="es-AR" w:eastAsia="es-AR" w:bidi="es-AR"/>
        </w:rPr>
      </w:pPr>
      <w:r>
        <w:rPr>
          <w:lang w:val="es-AR" w:eastAsia="es-AR" w:bidi="es-AR"/>
        </w:rPr>
        <w:t xml:space="preserve">He de puntualizar aquí que corresponde a ambos progenitores en la proporción de sus respectivos ingresos la obligación alimentaria, debiendo considerarse la contribución del progenitor con quien los hijos residen de manera principal (doctr. art. 650 y ccs. del CCC), pues éste realiza aportes en especie de significación económica, además de la atención que presta al hijo en los múltiples requerimientos cotidianos, y que implica una inversión de tiempo a la que debe atribuírsele valor.- </w:t>
      </w:r>
    </w:p>
    <w:p>
      <w:pPr>
        <w:pStyle w:val="[Normal]"/>
        <w:spacing w:line="360" w:lineRule="auto"/>
        <w:ind w:firstLine="1134"/>
        <w:jc w:val="both"/>
        <w:rPr>
          <w:lang w:val="es-AR" w:eastAsia="es-AR" w:bidi="es-AR"/>
        </w:rPr>
      </w:pPr>
      <w:r>
        <w:rPr>
          <w:lang w:val="es-AR" w:eastAsia="es-AR" w:bidi="es-AR"/>
        </w:rPr>
        <w:t xml:space="preserve">El quantum de la prestación alimentaria debe determinarse atendiendo el interés superior del niño y su derecho al sustento y a un nivel de vida adecuado (arts. 3 inc. 1, 6, 24, 27 inc. 1, 28 y 31 de la CDN; art. 75 inc. 22 CN). A lo que debe adunarse, que 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spacing w:line="360" w:lineRule="auto"/>
        <w:ind w:firstLine="1134"/>
        <w:jc w:val="both"/>
        <w:rPr>
          <w:lang w:val="es-AR" w:eastAsia="es-AR" w:bidi="es-AR"/>
        </w:rPr>
      </w:pPr>
      <w:r>
        <w:rPr>
          <w:lang w:val="es-AR" w:eastAsia="es-AR" w:bidi="es-AR"/>
        </w:rPr>
        <w:t xml:space="preserve">El aquo también se ha detenido en la fortuna del alimentante, habiéndose acreditado que trabaja en relación de dependencia para el Sr Felipe Ramos habiéndose estimado los ingresos mensuales en cuatro millones, correspondientes presumiblemente a los meses de setiembre y octubre de 2024. También se meritó que es titular registral de un Volkswagen Gol 1,6 año 2007 y un JVT307 Chevrolet Classic 3 puertas año 2011.-</w:t>
      </w:r>
    </w:p>
    <w:p>
      <w:pPr>
        <w:pStyle w:val="[Normal]"/>
        <w:spacing w:line="360" w:lineRule="auto"/>
        <w:ind w:firstLine="1134"/>
        <w:jc w:val="both"/>
        <w:rPr>
          <w:lang w:val="es-AR" w:eastAsia="es-AR" w:bidi="es-AR"/>
        </w:rPr>
      </w:pPr>
      <w:r>
        <w:rPr>
          <w:lang w:val="es-AR" w:eastAsia="es-AR" w:bidi="es-AR"/>
        </w:rPr>
        <w:t xml:space="preserve">Se tuvo en cuenta que espontáneamente el accionado ofreció la suma de pesos noventa mil como cuota alimentaria en fecha 4/10/2024.-</w:t>
      </w:r>
    </w:p>
    <w:p>
      <w:pPr>
        <w:pStyle w:val="[Normal]"/>
        <w:spacing w:line="360" w:lineRule="auto"/>
        <w:ind w:firstLine="1134"/>
        <w:jc w:val="both"/>
        <w:rPr>
          <w:lang w:val="es-AR" w:eastAsia="es-AR" w:bidi="es-AR"/>
        </w:rPr>
      </w:pPr>
      <w:r>
        <w:rPr>
          <w:lang w:val="es-AR" w:eastAsia="es-AR" w:bidi="es-AR"/>
        </w:rPr>
        <w:t xml:space="preserve">La Asesora de menores emitió su dictamen expidiéndose favorablemente al aumento de cuota y proponiendo un 40% del índice de crianza.-</w:t>
      </w:r>
    </w:p>
    <w:p>
      <w:pPr>
        <w:pStyle w:val="[Normal]"/>
        <w:spacing w:line="360" w:lineRule="auto"/>
        <w:ind w:firstLine="1134"/>
        <w:jc w:val="both"/>
        <w:rPr>
          <w:lang w:val="es-AR" w:eastAsia="es-AR" w:bidi="es-AR"/>
        </w:rPr>
      </w:pPr>
      <w:r>
        <w:rPr>
          <w:lang w:val="es-AR" w:eastAsia="es-AR" w:bidi="es-AR"/>
        </w:rPr>
        <w:t xml:space="preserve">Recuérdese que ...”En materia de alimentos, cuando no es posible la obtención de la prueba directa de los ingresos con que cuenta el obligado, o no pueda decirse que los mismos sean iguales todos los meses, la cuota debe fijarse en base a los indicios que permiten presumir determinada situación económica y de ganancias del demandado, cuya apreciación ha de hacerse con criterio amplio a favor de la prestación que se reclama en razón de las necesidades a satisfacer” (CC0100 SN 10292 RSD140-11 S 25-10-11, Juez TIVANO (SD) JUBA B858956).- </w:t>
      </w:r>
    </w:p>
    <w:p>
      <w:pPr>
        <w:pStyle w:val="[Normal]"/>
        <w:spacing w:line="360" w:lineRule="auto"/>
        <w:ind w:firstLine="1134"/>
        <w:jc w:val="both"/>
        <w:rPr>
          <w:lang w:val="es-AR" w:eastAsia="es-AR" w:bidi="es-AR"/>
        </w:rPr>
      </w:pPr>
      <w:r>
        <w:rPr>
          <w:lang w:val="es-AR" w:eastAsia="es-AR" w:bidi="es-AR"/>
        </w:rPr>
        <w:t xml:space="preserve">Y como es sabido, la contribución económica del padre debe ser importante si la madre detenta la tenencia del niño –lo cual acontece efectivamente en autos-, no obstante perciba ingresos propios, en su calidad de enfermera.-</w:t>
      </w:r>
    </w:p>
    <w:p>
      <w:pPr>
        <w:pStyle w:val="[Normal]"/>
        <w:spacing w:line="360" w:lineRule="auto"/>
        <w:ind w:firstLine="1134"/>
        <w:jc w:val="both"/>
        <w:rPr>
          <w:lang w:val="es-AR" w:eastAsia="es-AR" w:bidi="es-AR"/>
        </w:rPr>
      </w:pPr>
      <w:r>
        <w:rPr>
          <w:lang w:val="es-AR" w:eastAsia="es-AR" w:bidi="es-AR"/>
        </w:rPr>
        <w:t xml:space="preserve">El acento puesto sobre la Canasta de Crianza tomado como parámetro por la jueza de grado ha de interpretarse en su justa medida porque la norma la describe como pauta optativa y no obligatoria.-</w:t>
      </w:r>
    </w:p>
    <w:p>
      <w:pPr>
        <w:pStyle w:val="[Normal]"/>
        <w:spacing w:line="360" w:lineRule="auto"/>
        <w:ind w:firstLine="1134"/>
        <w:jc w:val="both"/>
        <w:rPr>
          <w:lang w:val="es-AR" w:eastAsia="es-AR" w:bidi="es-AR"/>
        </w:rPr>
      </w:pPr>
      <w:r>
        <w:rPr>
          <w:lang w:val="es-AR" w:eastAsia="es-AR" w:bidi="es-AR"/>
        </w:rPr>
        <w:t xml:space="preserve">Ya hemos señalado desde aquí en numerosos fallos que la sentencia determinará el monto total de la obligación alimentaria.  Para la estimación del valor real de su cuantía, tratándose de alimentos que se reclamen en beneficios de menores de edad podrá tener en cuenta, entre otros elementos de mérito, el costo de la crianza que surge de la Canasta de Crianza de la Primera Infancia, la Niñez y la Adolescencia establecida por el Instituto Nacional de Estadísticas y Censos de la República Argentina (INDEC) o medición que adopte la provincia de Buenos Aires.-</w:t>
      </w:r>
    </w:p>
    <w:p>
      <w:pPr>
        <w:pStyle w:val="[Normal]"/>
        <w:spacing w:line="360" w:lineRule="auto"/>
        <w:ind w:firstLine="1134"/>
        <w:jc w:val="both"/>
        <w:rPr>
          <w:lang w:val="es-AR" w:eastAsia="es-AR" w:bidi="es-AR"/>
        </w:rPr>
      </w:pPr>
      <w:r>
        <w:rPr>
          <w:lang w:val="es-AR" w:eastAsia="es-AR" w:bidi="es-AR"/>
        </w:rPr>
        <w:t xml:space="preserve">Habiendo la magistrada elegido esa pauta para cuantificar, teniendo en cuenta el índice publicado por el Instituto Nacional de Estadística y Censos de la República Argentina en la edad que va desde los 6 a 12 años la canasta se fija en $ 607.848 (enero 2026)  por lo que desde aquí se considera adecuado incrementar la misma al 40% de ese índice que arrojaría en la actualidad el importe de $ 243.139.-</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 la parte actora incrementando la cuota mensual y fijando la misma en el 40 % de la canasta de crianza de la primera infancia, la niñez y adolescencia correspondiente a la franja etaria del niño y vigente al momento de la exigibilidad de la cuota.-Confirmando en todo lo demás la sentencia apelada.-</w:t>
      </w:r>
    </w:p>
    <w:p>
      <w:pPr>
        <w:pStyle w:val="[Normal]"/>
        <w:spacing w:line="360" w:lineRule="auto"/>
        <w:ind w:firstLine="1134"/>
        <w:jc w:val="both"/>
        <w:rPr>
          <w:lang w:val="es-AR" w:eastAsia="es-AR" w:bidi="es-AR"/>
        </w:rPr>
      </w:pPr>
      <w:r>
        <w:rPr>
          <w:lang w:val="es-AR" w:eastAsia="es-AR" w:bidi="es-AR"/>
        </w:rPr>
        <w:t xml:space="preserve">Imponer las costas al demandado vencido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 la parte actora incrementando la cuota mensual y fijando la misma en el 40 % de la canasta de crianza de la primera infancia, la niñez y adolescencia correspondiente a la franja etaria del niño y vigente al momento de la exigibilidad de la cuota.-Confirmando en todo lo demás la sentencia apelada.-</w:t>
      </w:r>
    </w:p>
    <w:p>
      <w:pPr>
        <w:pStyle w:val="[Normal]"/>
        <w:spacing w:line="360" w:lineRule="auto"/>
        <w:ind w:firstLine="1134"/>
        <w:jc w:val="both"/>
        <w:rPr>
          <w:lang w:val="es-AR" w:eastAsia="es-AR" w:bidi="es-AR"/>
        </w:rPr>
      </w:pPr>
      <w:r>
        <w:rPr>
          <w:lang w:val="es-AR" w:eastAsia="es-AR" w:bidi="es-AR"/>
        </w:rPr>
        <w:t xml:space="preserve">Imponer las costas al demandado vencido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