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4615-22</w:t>
      </w:r>
      <w:r>
        <w:rPr>
          <w:lang w:val="es-AR" w:eastAsia="es-AR" w:bidi="es-AR"/>
        </w:rPr>
        <w:t xml:space="preserve"> caratulada </w:t>
      </w:r>
      <w:r>
        <w:rPr>
          <w:b/>
          <w:lang w:val="es-AR" w:eastAsia="es-AR" w:bidi="es-AR"/>
        </w:rPr>
        <w:t xml:space="preserve">"</w:t>
      </w:r>
      <w:r>
        <w:rPr>
          <w:b/>
          <w:color w:val="000000"/>
          <w:lang w:val="es-AR" w:eastAsia="es-AR" w:bidi="es-AR"/>
        </w:rPr>
        <w:t xml:space="preserve">AGRICULTORES FEDERADOS ARGENTINOS S.C.L.  C/ DEL PIANO EDUARDO ANDRES S/ COBRO EJECUTIVO</w:t>
      </w:r>
      <w:r>
        <w:rPr>
          <w:b/>
          <w:lang w:val="es-AR" w:eastAsia="es-AR" w:bidi="es-AR"/>
        </w:rPr>
        <w:t xml:space="preserve">"</w:t>
      </w:r>
      <w:r>
        <w:rPr>
          <w:lang w:val="es-AR" w:eastAsia="es-AR" w:bidi="es-AR"/>
        </w:rPr>
        <w:t xml:space="preserve">, Expte. </w:t>
      </w:r>
      <w:r>
        <w:rPr>
          <w:color w:val="000000"/>
          <w:lang w:val="es-AR" w:eastAsia="es-AR" w:bidi="es-AR"/>
        </w:rPr>
        <w:t xml:space="preserve">62.933</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rechazó la impugnación deducida por el demandado y aprobó la liquidación correspondiente a estos actuados en la suma de  Pesos Ochenta Y Cuatro Millones Seiscientos Trece Mil Ochocientos Treinta Y Uno Con 50/100 ($84.613.831,50).  Impuso las costas al ejecutado y difirió la regulación de honorarios de los letrados intervinientes hasta tanto se encuentre firme lo resuelto.</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12-8-2025 por la parte demandada, concedido en relación el 19-8-2025 y fundado el 22-8-2025, no habiendo la parte actora evacuado el traslado conferido. </w:t>
      </w:r>
    </w:p>
    <w:p>
      <w:pPr>
        <w:pStyle w:val="[Normal]"/>
        <w:spacing w:line="360" w:lineRule="auto"/>
        <w:ind w:firstLine="1134"/>
        <w:jc w:val="both"/>
        <w:rPr>
          <w:lang w:val="es-AR" w:eastAsia="es-AR" w:bidi="es-AR"/>
        </w:rPr>
      </w:pPr>
      <w:r>
        <w:rPr>
          <w:lang w:val="es-AR" w:eastAsia="es-AR" w:bidi="es-AR"/>
        </w:rPr>
        <w:t xml:space="preserve">Elevados los autos a esta Alzada con fecha 18-11-2025, se dicta el llamamiento de autos para resolver,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parte demandada se agravia de que la sentencia en crisis lesiona los principios de equidad y no confiscatoriedad, por ser desproporcionada, leonina y favorecer un enriquecimiento sin causa en favor de la actora.</w:t>
      </w:r>
    </w:p>
    <w:p>
      <w:pPr>
        <w:pStyle w:val="[Normal]"/>
        <w:spacing w:line="360" w:lineRule="auto"/>
        <w:ind w:firstLine="1134"/>
        <w:jc w:val="both"/>
        <w:rPr>
          <w:lang w:val="es-AR" w:eastAsia="es-AR" w:bidi="es-AR"/>
        </w:rPr>
      </w:pPr>
      <w:r>
        <w:rPr>
          <w:lang w:val="es-AR" w:eastAsia="es-AR" w:bidi="es-AR"/>
        </w:rPr>
        <w:t xml:space="preserve">Destaca que el capital reclamado es de $ 1.353.652,14 y la liquidación aprobada en fecha 7 de Agosto de 2025 arroja una suma de $ 84.613.831,50, resultando evidente que tal resultado requiere una morigeración a fin de la misma sea de posible cumplimiento, cita jurisprudencia en apoyo a su postura.</w:t>
      </w:r>
    </w:p>
    <w:p>
      <w:pPr>
        <w:pStyle w:val="[Normal]"/>
        <w:spacing w:line="360" w:lineRule="auto"/>
        <w:ind w:firstLine="1134"/>
        <w:jc w:val="both"/>
        <w:rPr>
          <w:lang w:val="es-AR" w:eastAsia="es-AR" w:bidi="es-AR"/>
        </w:rPr>
      </w:pPr>
      <w:r>
        <w:rPr>
          <w:lang w:val="es-AR" w:eastAsia="es-AR" w:bidi="es-AR"/>
        </w:rPr>
        <w:t xml:space="preserve">Señala que en diciembre de 2018 (fecha en que el deudor entra en mora) con la suma adeudada se podían adquirir aproximadamente u$s 35.000. Agrega que actualmente si quisiéramos adquirir la misma suma de dólares necesitaríamos también $ 46.000.000, es decir prácticamente la mitad de lo que se le exige pagar al deudor.</w:t>
      </w:r>
    </w:p>
    <w:p>
      <w:pPr>
        <w:pStyle w:val="[Normal]"/>
        <w:spacing w:line="360" w:lineRule="auto"/>
        <w:ind w:firstLine="1134"/>
        <w:jc w:val="both"/>
        <w:rPr>
          <w:lang w:val="es-AR" w:eastAsia="es-AR" w:bidi="es-AR"/>
        </w:rPr>
      </w:pPr>
      <w:r>
        <w:rPr>
          <w:lang w:val="es-AR" w:eastAsia="es-AR" w:bidi="es-AR"/>
        </w:rPr>
        <w:t xml:space="preserve">Critica que la aplicación al caso de la doctrina "Barrios" ha llevado a un resultado desproporcionado al utilizar como indice de actualización al IPC. Se duele que tal circunstancia es excepcional e implica la declaración de inconstitucionalidad de los art. 7 de la ley 23.928 y 4 de la ley 25.561. </w:t>
      </w:r>
    </w:p>
    <w:p>
      <w:pPr>
        <w:pStyle w:val="[Normal]"/>
        <w:spacing w:line="360" w:lineRule="auto"/>
        <w:ind w:firstLine="1134"/>
        <w:jc w:val="both"/>
        <w:rPr>
          <w:lang w:val="es-AR" w:eastAsia="es-AR" w:bidi="es-AR"/>
        </w:rPr>
      </w:pPr>
      <w:r>
        <w:rPr>
          <w:lang w:val="es-AR" w:eastAsia="es-AR" w:bidi="es-AR"/>
        </w:rPr>
        <w:t xml:space="preserve">Expresa que la aplicación compuesta del IPC puede arrojar resultados exorbitantes como en autos, un incremento del 4.167%, transformando una deuda de $1.300.000 en más de $84 millones. Asimismo agrega que en este caso se genera una doble actualización ya que además de aplicar el IPC, se adicionan intereses (puro 6% anual y luego tasa activa bancaria). Esto genera un efecto de doble recomposición (indexación intereses), que supera con creces la finalidad de resguardar el crédito y configura un enriquecimiento sin causa.</w:t>
      </w:r>
    </w:p>
    <w:p>
      <w:pPr>
        <w:pStyle w:val="[Normal]"/>
        <w:spacing w:line="360" w:lineRule="auto"/>
        <w:ind w:firstLine="1134"/>
        <w:jc w:val="both"/>
        <w:rPr>
          <w:lang w:val="es-AR" w:eastAsia="es-AR" w:bidi="es-AR"/>
        </w:rPr>
      </w:pPr>
      <w:r>
        <w:rPr>
          <w:lang w:val="es-AR" w:eastAsia="es-AR" w:bidi="es-AR"/>
        </w:rPr>
        <w:t xml:space="preserve">Plantea la utilización de indices alternativos como el tasa activa bancaria, RIPTE, UVA, CVS, que resultan más idóneos para reflejar la pérdida de valor de créditos comerciales.</w:t>
      </w:r>
    </w:p>
    <w:p>
      <w:pPr>
        <w:pStyle w:val="[Normal]"/>
        <w:spacing w:line="360" w:lineRule="auto"/>
        <w:ind w:firstLine="1134"/>
        <w:jc w:val="both"/>
        <w:rPr>
          <w:lang w:val="es-AR" w:eastAsia="es-AR" w:bidi="es-AR"/>
        </w:rPr>
      </w:pPr>
      <w:r>
        <w:rPr>
          <w:lang w:val="es-AR" w:eastAsia="es-AR" w:bidi="es-AR"/>
        </w:rPr>
        <w:t xml:space="preserve">Solicita se revoque la resolución apelada, aplicando pautas de morigeración y el principio de esfuerzo compartido a fin de mantener el valor del crédito sin generar enriquecimiento sin causa.</w:t>
      </w:r>
    </w:p>
    <w:p>
      <w:pPr>
        <w:pStyle w:val="[Normal]"/>
        <w:spacing w:line="360" w:lineRule="auto"/>
        <w:ind w:firstLine="1134"/>
        <w:jc w:val="both"/>
        <w:rPr>
          <w:lang w:val="es-AR" w:eastAsia="es-AR" w:bidi="es-AR"/>
        </w:rPr>
      </w:pPr>
      <w:r>
        <w:rPr>
          <w:lang w:val="es-AR" w:eastAsia="es-AR" w:bidi="es-AR"/>
        </w:rPr>
        <w:t xml:space="preserve">Ingresando al análisis de la cuestión, surge que la parte actora solicitó en fecha 25-6-2024 la aplicación de la doctrina “Barrios”, petición que fue sustanciada con traslado a la contraria. El juez de la anterior instancia, en fecha 10-2-2025, dictó sentencia de trance y remate condenando al demandado al pago del capital reclamado de $ 1.353.652,14, actualizado conforme el Índice de Precios al Consumidor “Nivel General” que publica el I.N.D.E.C., adicionando intereses a una tasa pura del 6% anual desde la mora (26/12/2018 y 04/12/2018) hasta la fecha de dicha sentencia y, desde entonces y hasta el efectivo pago, la tasa activa del Banco de la Provincia de Buenos Aires en sus operaciones ordinarias de descuento a treinta días.</w:t>
      </w:r>
    </w:p>
    <w:p>
      <w:pPr>
        <w:pStyle w:val="[Normal]"/>
        <w:spacing w:line="360" w:lineRule="auto"/>
        <w:ind w:firstLine="1134"/>
        <w:jc w:val="both"/>
        <w:rPr>
          <w:lang w:val="es-AR" w:eastAsia="es-AR" w:bidi="es-AR"/>
        </w:rPr>
      </w:pPr>
      <w:r>
        <w:rPr>
          <w:lang w:val="es-AR" w:eastAsia="es-AR" w:bidi="es-AR"/>
        </w:rPr>
        <w:t xml:space="preserve">Dicha resolución fue debidamente notificada y no fue recurrida, adquiriendo firmeza por el mero transcurso del plazo legal.	</w:t>
      </w:r>
    </w:p>
    <w:p>
      <w:pPr>
        <w:pStyle w:val="[Normal]"/>
        <w:spacing w:line="360" w:lineRule="auto"/>
        <w:ind w:firstLine="1134"/>
        <w:jc w:val="both"/>
        <w:rPr>
          <w:lang w:val="es-AR" w:eastAsia="es-AR" w:bidi="es-AR"/>
        </w:rPr>
      </w:pPr>
      <w:r>
        <w:rPr>
          <w:lang w:val="es-AR" w:eastAsia="es-AR" w:bidi="es-AR"/>
        </w:rPr>
        <w:t xml:space="preserve">En consecuencia, las pautas relativas a la actualización del capital y a la aplicación de intereses quedaron comprendidas en los efectos de la cosa juzgada, siendo improcedente en esta etapa modificar las bases establecidas para la liquidación.</w:t>
      </w:r>
    </w:p>
    <w:p>
      <w:pPr>
        <w:pStyle w:val="[Normal]"/>
        <w:spacing w:line="360" w:lineRule="auto"/>
        <w:ind w:firstLine="1134"/>
        <w:jc w:val="both"/>
        <w:rPr>
          <w:lang w:val="es-AR" w:eastAsia="es-AR" w:bidi="es-AR"/>
        </w:rPr>
      </w:pPr>
      <w:r>
        <w:rPr>
          <w:lang w:val="es-AR" w:eastAsia="es-AR" w:bidi="es-AR"/>
        </w:rPr>
        <w:t xml:space="preserve">Cabe precisar que, tratándose de un recurso contra la aprobación de liquidación, el ámbito de revisión de esta Alzada se circunscribe a verificar la corrección de la operación aritmética practicada conforme las pautas fijadas en la sentencia firme. No resulta jurídicamente admisible reabrir el debate acerca de la razonabilidad, conveniencia o justicia intrínseca del sistema de actualización e intereses oportunamente dispuesto y consentido por las partes.</w:t>
      </w:r>
    </w:p>
    <w:p>
      <w:pPr>
        <w:pStyle w:val="[Normal]"/>
        <w:spacing w:line="360" w:lineRule="auto"/>
        <w:ind w:firstLine="1134"/>
        <w:jc w:val="both"/>
        <w:rPr>
          <w:lang w:val="es-AR" w:eastAsia="es-AR" w:bidi="es-AR"/>
        </w:rPr>
      </w:pPr>
      <w:r>
        <w:rPr>
          <w:lang w:val="es-AR" w:eastAsia="es-AR" w:bidi="es-AR"/>
        </w:rPr>
        <w:t xml:space="preserve">El agravio que pretende cuestionar tales criterios -mediante la invocación de principios de equidad, no confiscatoriedad o enriquecimiento sin causa- importa desconocer los efectos propios del principio de preclusión y de la inmutabilidad de la cosa juzgada.</w:t>
      </w:r>
    </w:p>
    <w:p>
      <w:pPr>
        <w:pStyle w:val="[Normal]"/>
        <w:spacing w:line="360" w:lineRule="auto"/>
        <w:ind w:firstLine="1134"/>
        <w:jc w:val="both"/>
        <w:rPr>
          <w:lang w:val="es-AR" w:eastAsia="es-AR" w:bidi="es-AR"/>
        </w:rPr>
      </w:pPr>
      <w:r>
        <w:rPr>
          <w:lang w:val="es-AR" w:eastAsia="es-AR" w:bidi="es-AR"/>
        </w:rPr>
        <w:t xml:space="preserve">Este Tribunal con otro composición ya ha sostenido que "...</w:t>
      </w:r>
      <w:r>
        <w:rPr>
          <w:i/>
          <w:lang w:val="es-AR" w:eastAsia="es-AR" w:bidi="es-AR"/>
        </w:rPr>
        <w:t xml:space="preserve"> no ejercida una facultad en tiempo y forma, la  misma  se  pierde  por cuanto la preclusión opera como un impedimento o una imposibilidad: la facultad procesal no utilizada, se extingue" (confr. SCBA, Ac.75777 del 13/6/01 ent. ots.) y "...si una cuestión ha quedado definitivamente resuelta en sentencia firme, no puede ser nuevamente examinada y menos decidida en sentido distinto" </w:t>
      </w:r>
      <w:r>
        <w:rPr>
          <w:lang w:val="es-AR" w:eastAsia="es-AR" w:bidi="es-AR"/>
        </w:rPr>
        <w:t xml:space="preserve">(confr.  SCBA,  Ac.92718 del 26/4/06 ent. ots.)" (CAP Causa 191/09, RSD Nº 81/09). </w:t>
      </w:r>
    </w:p>
    <w:p>
      <w:pPr>
        <w:pStyle w:val="[Normal]"/>
        <w:spacing w:line="360" w:lineRule="auto"/>
        <w:ind w:firstLine="1134"/>
        <w:jc w:val="both"/>
        <w:rPr>
          <w:lang w:val="es-AR" w:eastAsia="es-AR" w:bidi="es-AR"/>
        </w:rPr>
      </w:pPr>
      <w:r>
        <w:rPr>
          <w:lang w:val="es-AR" w:eastAsia="es-AR" w:bidi="es-AR"/>
        </w:rPr>
        <w:t xml:space="preserve">Sentado ello, corresponde analizar si la liquidación aprobada resulta susceptible de morigeración con fundamento en el art. 771 del CCyC.</w:t>
      </w:r>
    </w:p>
    <w:p>
      <w:pPr>
        <w:pStyle w:val="[Normal]"/>
        <w:spacing w:line="360" w:lineRule="auto"/>
        <w:ind w:firstLine="1134"/>
        <w:jc w:val="both"/>
        <w:rPr>
          <w:lang w:val="es-AR" w:eastAsia="es-AR" w:bidi="es-AR"/>
        </w:rPr>
      </w:pPr>
      <w:r>
        <w:rPr>
          <w:lang w:val="es-AR" w:eastAsia="es-AR" w:bidi="es-AR"/>
        </w:rPr>
        <w:t xml:space="preserve">En referencia a ello se debe ponderar que la pretensión de aplicar en esta instancia la facultad atenuadora referida en la párrafo anterior, importa, en rigor, cuestionar la razonabilidad del régimen de intereses establecido en la sentencia. </w:t>
      </w:r>
    </w:p>
    <w:p>
      <w:pPr>
        <w:pStyle w:val="[Normal]"/>
        <w:spacing w:line="360" w:lineRule="auto"/>
        <w:ind w:firstLine="1134"/>
        <w:jc w:val="both"/>
        <w:rPr>
          <w:lang w:val="es-AR" w:eastAsia="es-AR" w:bidi="es-AR"/>
        </w:rPr>
      </w:pPr>
      <w:r>
        <w:rPr>
          <w:lang w:val="es-AR" w:eastAsia="es-AR" w:bidi="es-AR"/>
        </w:rPr>
        <w:t xml:space="preserve">Sin embargo, dicha norma no puede erigirse en una vía indirecta para revisar lo decidido con autoridad de cosa juzgada. La potestad de reducir intereses manifiestamente desproporcionados encuentra su ámbito natural de actuación al momento de fijarse la condena (o al revisarse ésta por vía recursiva), pero no cuando los intereses han sido determinados judicialmente en un pronunciamiento que ya se encuentra a la fecha firme y consentido. Admitir lo contrario implicaría desconocer el principio de inmutabilidad de la sentencia pasada en autoridad de cosa juzgada, con afectación de la seguridad jurídica. </w:t>
      </w:r>
    </w:p>
    <w:p>
      <w:pPr>
        <w:pStyle w:val="[Normal]"/>
        <w:spacing w:line="360" w:lineRule="auto"/>
        <w:ind w:firstLine="1134"/>
        <w:jc w:val="both"/>
        <w:rPr>
          <w:lang w:val="es-AR" w:eastAsia="es-AR" w:bidi="es-AR"/>
        </w:rPr>
      </w:pPr>
      <w:r>
        <w:rPr>
          <w:lang w:val="es-AR" w:eastAsia="es-AR" w:bidi="es-AR"/>
        </w:rPr>
        <w:t xml:space="preserve">Como se ha expresado en los párrafos antecedentes la magnitud del resultado final criticado por el recurrente, en un contexto inflacionario y bajo un esquema que combina actualización por índice del consumidor y tasas diferenciadas, no constituye por sí sola demostración de abuso o desproporción sobreviniente, sino la consecuencia directa del método de recomposición del crédito adoptado y consentido.</w:t>
      </w:r>
    </w:p>
    <w:p>
      <w:pPr>
        <w:pStyle w:val="[Normal]"/>
        <w:spacing w:line="360" w:lineRule="auto"/>
        <w:ind w:firstLine="1134"/>
        <w:jc w:val="both"/>
        <w:rPr>
          <w:lang w:val="es-AR" w:eastAsia="es-AR" w:bidi="es-AR"/>
        </w:rPr>
      </w:pPr>
      <w:r>
        <w:rPr>
          <w:lang w:val="es-AR" w:eastAsia="es-AR" w:bidi="es-AR"/>
        </w:rPr>
        <w:t xml:space="preserve">Resultando de consideración adunar que tampoco resulta atendible la invocación del principio de esfuerzo compartido, pues su aplicación en esta etapa importaría modificar sustancialmente una condena firme.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interpuesto y confirmar en su totalidad la sentencia en crisis.</w:t>
      </w:r>
    </w:p>
    <w:p>
      <w:pPr>
        <w:pStyle w:val="[Normal]"/>
        <w:spacing w:line="360" w:lineRule="auto"/>
        <w:ind w:firstLine="1134"/>
        <w:jc w:val="both"/>
        <w:rPr>
          <w:color w:val="000000"/>
          <w:lang w:val="es-AR" w:eastAsia="es-AR" w:bidi="es-AR"/>
        </w:rPr>
      </w:pPr>
      <w:r>
        <w:rPr>
          <w:color w:val="000000"/>
          <w:lang w:val="es-AR" w:eastAsia="es-AR" w:bidi="es-AR"/>
        </w:rPr>
        <w:t xml:space="preserve">2) Imponer las costas de Alzada al apelante perdidoso (art. 68/69 del CPCC).</w:t>
      </w:r>
    </w:p>
    <w:p>
      <w:pPr>
        <w:pStyle w:val="[Normal]"/>
        <w:spacing w:line="360" w:lineRule="auto"/>
        <w:ind w:firstLine="1134"/>
        <w:jc w:val="both"/>
        <w:rPr>
          <w:lang w:val="es-AR" w:eastAsia="es-AR" w:bidi="es-AR"/>
        </w:rPr>
      </w:pPr>
      <w:r>
        <w:rPr>
          <w:color w:val="000000"/>
          <w:lang w:val="es-AR" w:eastAsia="es-AR" w:bidi="es-AR"/>
        </w:rPr>
        <w:t xml:space="preserve">3) Diferir la regulación de honorarios para su oportunidad respectiva (art. 31 de la ley 14.697).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Rechazar el recurso interpuesto y confirmar en su totalidad la sentencia en crisis.</w:t>
      </w:r>
    </w:p>
    <w:p>
      <w:pPr>
        <w:pStyle w:val="[Normal]"/>
        <w:spacing w:line="360" w:lineRule="auto"/>
        <w:ind w:firstLine="1134"/>
        <w:jc w:val="both"/>
        <w:rPr>
          <w:color w:val="000000"/>
          <w:lang w:val="es-AR" w:eastAsia="es-AR" w:bidi="es-AR"/>
        </w:rPr>
      </w:pPr>
      <w:r>
        <w:rPr>
          <w:color w:val="000000"/>
          <w:lang w:val="es-AR" w:eastAsia="es-AR" w:bidi="es-AR"/>
        </w:rPr>
        <w:t xml:space="preserve">2) Imponer las costas de Alzada al apelante perdidoso (art. 68/69 del CPCC).</w:t>
      </w:r>
    </w:p>
    <w:p>
      <w:pPr>
        <w:pStyle w:val="[Normal]"/>
        <w:spacing w:line="360" w:lineRule="auto"/>
        <w:ind w:firstLine="1134"/>
        <w:jc w:val="both"/>
        <w:rPr>
          <w:lang w:val="es-AR" w:eastAsia="es-AR" w:bidi="es-AR"/>
        </w:rPr>
      </w:pPr>
      <w:r>
        <w:rPr>
          <w:color w:val="000000"/>
          <w:lang w:val="es-AR" w:eastAsia="es-AR" w:bidi="es-AR"/>
        </w:rPr>
        <w:t xml:space="preserve">3) Diferir la regulación de honorarios para su oportunidad respectiva (art. 31 de la ley 14.697).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20215345956@NOTIFICACIONES.SCBA.GOV.AR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27276668957@NOTIFICACIONES.SCBA.GOV.AR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26/02/2026 09:53:01 -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26/02/2026 10:09:45 -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26/02/2026 10:22:47 -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‰87")è&amp;nB1{Š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242302090006783417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26/02/2026 10:23:00 hs. bajo el número RS-14-2026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