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5857-25</w:t>
      </w:r>
      <w:r>
        <w:rPr>
          <w:lang w:val="es-AR" w:eastAsia="es-AR" w:bidi="es-AR"/>
        </w:rPr>
        <w:t xml:space="preserve"> caratulada </w:t>
      </w:r>
      <w:r>
        <w:rPr>
          <w:b/>
          <w:lang w:val="es-AR" w:eastAsia="es-AR" w:bidi="es-AR"/>
        </w:rPr>
        <w:t xml:space="preserve">"</w:t>
      </w:r>
      <w:r>
        <w:rPr>
          <w:b/>
          <w:color w:val="000000"/>
          <w:lang w:val="es-AR" w:eastAsia="es-AR" w:bidi="es-AR"/>
        </w:rPr>
        <w:t xml:space="preserve">CUENCA CEREALES S.A.  C/ FONTEZUELA CEREALES S.A.  S/ COBRO SUMARIO SUMAS DINERO (EXC.ALQUILERES, ETC.)</w:t>
      </w:r>
      <w:r>
        <w:rPr>
          <w:b/>
          <w:lang w:val="es-AR" w:eastAsia="es-AR" w:bidi="es-AR"/>
        </w:rPr>
        <w:t xml:space="preserve">"</w:t>
      </w:r>
      <w:r>
        <w:rPr>
          <w:lang w:val="es-AR" w:eastAsia="es-AR" w:bidi="es-AR"/>
        </w:rPr>
        <w:t xml:space="preserve">, Expte. N° 65.393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magistrado de la instancia anterior rechazó la demanda que instaurara "Cuenca Cereales S.A." contra "Fontezuela Cereales S.A.". Para así decidir el juzgador entendió que la parte actora no logró demostrar la existencia del contrato de cuenta corriente cuyo saldo ha pretendido percibir mediante este proceso. Aplicó las costas a la accionante vencida. Difiriendo la regulación de honorarios de los profesionales intervinientes.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el apoderado de la parte actora el 16-12-2023, concedido libremente y en efecto suspensivo el 22-12-2023. Elevados los autos a esta Alzada en fecha 30-9-2025 se ordenó expresar agravios a la actora, quien los fundó el 7-10-2025. Con fecha 30-10-2025 la parte demandada evacua el traslado conferido, encontrándose la causa en condiciones, se llamo autos para dictar sentencia el 4-11-2025,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apelante se agravia de la sentencia en cuanto rechaza la demanda ya que aquella ha considerado como no acreditada la existencia del contrato de cuenta corriente cuyo saldo se reclamó. Sostiene que, pese al análisis efectuado por el juez de primera instancia y a la valoración de la prueba producida, el fallo resulta contradictorio, ya que reconoce que la prueba rendida se integra con la certificación de saldo deudor acompañada con la demanda y con el informe pericial contable, pero igualmente concluye en su insuficiencia probatoria.</w:t>
      </w:r>
    </w:p>
    <w:p>
      <w:pPr>
        <w:pStyle w:val="[Normal]"/>
        <w:spacing w:line="360" w:lineRule="auto"/>
        <w:ind w:firstLine="1134"/>
        <w:jc w:val="both"/>
        <w:rPr>
          <w:lang w:val="es-AR" w:eastAsia="es-AR" w:bidi="es-AR"/>
        </w:rPr>
      </w:pPr>
      <w:r>
        <w:rPr>
          <w:lang w:val="es-AR" w:eastAsia="es-AR" w:bidi="es-AR"/>
        </w:rPr>
        <w:t xml:space="preserve">Expresa que el a quo privó indebidamente de eficacia probatoria al Libro IVA Ventas de la actora, cuando éste debía ser valorado al menos con alcance indiciario, en conjunto con la certificación contable, la pericia y la restante documentación, máxime cuando el demandado no puso a disposición sus libros contables y se limitó a negar la deuda invocando prescripción. En base a ello, solicita la revocación del fallo recurrido y que se haga lugar a la demanda, con costas.</w:t>
      </w:r>
    </w:p>
    <w:p>
      <w:pPr>
        <w:pStyle w:val="[Normal]"/>
        <w:spacing w:line="360" w:lineRule="auto"/>
        <w:ind w:firstLine="1134"/>
        <w:jc w:val="both"/>
        <w:rPr>
          <w:lang w:val="es-AR" w:eastAsia="es-AR" w:bidi="es-AR"/>
        </w:rPr>
      </w:pPr>
      <w:r>
        <w:rPr>
          <w:lang w:val="es-AR" w:eastAsia="es-AR" w:bidi="es-AR"/>
        </w:rPr>
        <w:t xml:space="preserve"> La contraria al contestar el traslado conferido rebate los argumentos expuestos por el apelante y peticiona el rechazo del recurso deducido con costas.</w:t>
      </w:r>
    </w:p>
    <w:p>
      <w:pPr>
        <w:pStyle w:val="[Normal]"/>
        <w:spacing w:line="360" w:lineRule="auto"/>
        <w:ind w:firstLine="1134"/>
        <w:jc w:val="both"/>
        <w:rPr>
          <w:lang w:val="es-AR" w:eastAsia="es-AR" w:bidi="es-AR"/>
        </w:rPr>
      </w:pPr>
      <w:r>
        <w:rPr>
          <w:lang w:val="es-AR" w:eastAsia="es-AR" w:bidi="es-AR"/>
        </w:rPr>
        <w:t xml:space="preserve">Ya en tarea de resolver adelanto que el recurso interpuesto no ha de prosperar. </w:t>
      </w:r>
    </w:p>
    <w:p>
      <w:pPr>
        <w:pStyle w:val="[Normal]"/>
        <w:spacing w:line="360" w:lineRule="auto"/>
        <w:ind w:firstLine="1134"/>
        <w:jc w:val="both"/>
        <w:rPr>
          <w:lang w:val="es-AR" w:eastAsia="es-AR" w:bidi="es-AR"/>
        </w:rPr>
      </w:pPr>
      <w:r>
        <w:rPr>
          <w:lang w:val="es-AR" w:eastAsia="es-AR" w:bidi="es-AR"/>
        </w:rPr>
        <w:t xml:space="preserve">En primer termino resulta imperioso mencionar que nuestro Código Civil y Comercial de la Nación establece en su art. 148 que el concepto de personas jurídicas privadas comprenden tanto a las sociedades, caracterizadas por la persecución de un fin lucrativo, como a diversas entidades carentes de finalidad de lucro, entre ellas las asociaciones civiles, simples asociaciones, fundaciones, iglesias, mutuales, cooperativas y los consorcios de propiedad horizontal. La exigencia de llevar contabilidad encuentra su fundamento o interés propio, en el caso de las sociedades, en su habitual acceso al crédito y en la necesidad de brindar información adecuada a terceros; mientras que, respecto de las restantes entidades, se justifica como un mecanismo de rendición calificada de cuentas en la administración de intereses ajenos.</w:t>
      </w:r>
    </w:p>
    <w:p>
      <w:pPr>
        <w:pStyle w:val="[Normal]"/>
        <w:spacing w:line="360" w:lineRule="auto"/>
        <w:ind w:firstLine="1134"/>
        <w:jc w:val="both"/>
        <w:rPr>
          <w:lang w:val="es-AR" w:eastAsia="es-AR" w:bidi="es-AR"/>
        </w:rPr>
      </w:pPr>
      <w:r>
        <w:rPr>
          <w:lang w:val="es-AR" w:eastAsia="es-AR" w:bidi="es-AR"/>
        </w:rPr>
        <w:t xml:space="preserve">Sentado aquello corresponde destacar que la parte actora, es una sociedad anónima "Cuenca Cereales SA." y de conformidad a lo normado por el artículo 320 del C.C.C., se halla obligada a llevar contabilidad. Obligación que la norma extiende a "... todas las personas jurídicas privadas y quienes realizan una actividad económica organizada o son titulares de una empresa o establecimiento comercial, industrial, agropecuario o de servicios. Cualquier otra persona puede llevar contabilidad si solicita su inscripción y la habilitación de sus registros o la rubricación de los libros, como se establece en esta misma Sección..."</w:t>
      </w:r>
    </w:p>
    <w:p>
      <w:pPr>
        <w:pStyle w:val="[Normal]"/>
        <w:spacing w:line="360" w:lineRule="auto"/>
        <w:ind w:firstLine="1134"/>
        <w:jc w:val="both"/>
        <w:rPr>
          <w:lang w:val="es-AR" w:eastAsia="es-AR" w:bidi="es-AR"/>
        </w:rPr>
      </w:pPr>
      <w:r>
        <w:rPr>
          <w:lang w:val="es-AR" w:eastAsia="es-AR" w:bidi="es-AR"/>
        </w:rPr>
        <w:t xml:space="preserve">En este sentido, el art. 321 del CCyC establece que  "La contabilidad debe ser llevada sobre una base uniforme de la que resulte un cuadro verídico de las actividades y de los actos que deben registrarse, de modo que se permita la individualización de las operaciones y las correspondientes cuentas acreedoras y deudoras. Los asientos deben respaldarse con la documentación respectiva, todo lo cual debe archivarse en forma metódica y que permita su localización y consulta.</w:t>
      </w:r>
    </w:p>
    <w:p>
      <w:pPr>
        <w:pStyle w:val="[Normal]"/>
        <w:spacing w:line="360" w:lineRule="auto"/>
        <w:ind w:firstLine="1134"/>
        <w:jc w:val="both"/>
        <w:rPr>
          <w:lang w:val="es-AR" w:eastAsia="es-AR" w:bidi="es-AR"/>
        </w:rPr>
      </w:pPr>
      <w:r>
        <w:rPr>
          <w:lang w:val="es-AR" w:eastAsia="es-AR" w:bidi="es-AR"/>
        </w:rPr>
        <w:t xml:space="preserve">Sentado aquello, en la especie y habiendo efectuado un análisis de las constancias de autos resulta relevante destacar que la pretensión inicial del quejoso radica en reclamar un saldo proveniente de una cuenta corriente mercantil que le endilga a la demandada. Dicho saldo deudor ha pretendido ser acreditado mediante una certificación contable realizada por el Contador Público Nacional Hugo D. Ramos adjuntada oportunamente con el libelo de inicio. De la lectura de dicho documento el mencionado profesional detalla que para llegar a tal conclusión se basó en la observancia de una nota de débito nro.0004-00000006 de fecha 23-10-2017 por $ 223.402,24, proveniente de declaraciones juradas y libros de impuestos de Cuenca Cereales SA (ver adjuntos de presentación electrónica de fecha 21-4-2022).</w:t>
      </w:r>
    </w:p>
    <w:p>
      <w:pPr>
        <w:pStyle w:val="[Normal]"/>
        <w:spacing w:line="360" w:lineRule="auto"/>
        <w:ind w:firstLine="1134"/>
        <w:jc w:val="both"/>
        <w:rPr>
          <w:lang w:val="es-AR" w:eastAsia="es-AR" w:bidi="es-AR"/>
        </w:rPr>
      </w:pPr>
      <w:r>
        <w:rPr>
          <w:lang w:val="es-AR" w:eastAsia="es-AR" w:bidi="es-AR"/>
        </w:rPr>
        <w:t xml:space="preserve">También emerge del análisis de autos que ambas partes peticionaron en sus escritos postulatorios iniciales la realización de una pericia contable (escrito de inicio del 21-4-2022  punto V, apartado 3 y contestación de demanda del 209-2022 punto V apartado b).</w:t>
      </w:r>
    </w:p>
    <w:p>
      <w:pPr>
        <w:pStyle w:val="[Normal]"/>
        <w:spacing w:line="360" w:lineRule="auto"/>
        <w:ind w:firstLine="1134"/>
        <w:jc w:val="both"/>
        <w:rPr>
          <w:lang w:val="es-AR" w:eastAsia="es-AR" w:bidi="es-AR"/>
        </w:rPr>
      </w:pPr>
      <w:r>
        <w:rPr>
          <w:lang w:val="es-AR" w:eastAsia="es-AR" w:bidi="es-AR"/>
        </w:rPr>
        <w:t xml:space="preserve">En consecuencia cabe resaltar la relevancia que adquiere aquella producción probatoria en razón del tipo deuda comercial que aquí se reclama.</w:t>
      </w:r>
    </w:p>
    <w:p>
      <w:pPr>
        <w:pStyle w:val="[Normal]"/>
        <w:spacing w:line="360" w:lineRule="auto"/>
        <w:ind w:firstLine="1134"/>
        <w:jc w:val="both"/>
        <w:rPr>
          <w:i/>
          <w:lang w:val="es-AR" w:eastAsia="es-AR" w:bidi="es-AR"/>
        </w:rPr>
      </w:pPr>
      <w:r>
        <w:rPr>
          <w:lang w:val="es-AR" w:eastAsia="es-AR" w:bidi="es-AR"/>
        </w:rPr>
        <w:t xml:space="preserve">Ahora bien, el informe pericial de fecha 11-5-2023 la profesional asignada manifiesta que habiendo requerido a las mismas los libros de comercio ninguna ha cumplido lo solicitado, al respecto expresa que solamente " ... </w:t>
      </w:r>
      <w:r>
        <w:rPr>
          <w:i/>
          <w:lang w:val="es-AR" w:eastAsia="es-AR" w:bidi="es-AR"/>
        </w:rPr>
        <w:t xml:space="preserve">tuvo a la vista los Libros de IVA de Fontezuela Cereales S.A.</w:t>
      </w:r>
      <w:r>
        <w:rPr>
          <w:lang w:val="es-AR" w:eastAsia="es-AR" w:bidi="es-AR"/>
        </w:rPr>
        <w:t xml:space="preserve">". Asimismo al brindar las explicaciones motivadas por las impugnaciones interpuestas por las partes, la profesional en el escrito de fecha 3-7-2023 manifestó : "</w:t>
      </w:r>
      <w:r>
        <w:rPr>
          <w:i/>
          <w:lang w:val="es-AR" w:eastAsia="es-AR" w:bidi="es-AR"/>
        </w:rPr>
        <w:t xml:space="preserve">Todo lo informado, o sea, los registros, no se pudieron constatar con los libros porque ninguna de las partes los pusieron a disposición. Utilizó otra documentación para informar lo solicitado. Este perito verificó con la documentación aportada por Cuenca Cereales S.A. Nota de débito Nº 0004-00000006 de fecha 23-10-17, DDJJ IVA período 10-2017 formulario Nº 731 que se presenta en el órgano AFIP, Certificación de contador matriculado, Libro IVA período 01-10-2017 al 31-10-2017".</w:t>
      </w:r>
    </w:p>
    <w:p>
      <w:pPr>
        <w:pStyle w:val="[Normal]"/>
        <w:spacing w:line="360" w:lineRule="auto"/>
        <w:ind w:firstLine="1134"/>
        <w:jc w:val="both"/>
        <w:rPr>
          <w:color w:val="000000"/>
          <w:lang w:val="es-AR" w:eastAsia="es-AR" w:bidi="es-AR"/>
        </w:rPr>
      </w:pPr>
      <w:r>
        <w:rPr>
          <w:color w:val="000000"/>
          <w:lang w:val="es-AR" w:eastAsia="es-AR" w:bidi="es-AR"/>
        </w:rPr>
        <w:t xml:space="preserve">Por lo expuesto y  teniendo en cuenta que el art. 375 del C.P.C. impone a la parte actora la carga de probar los hechos constitutivos del derecho que invoca, debo considerar que ni la certificación contable agregada por la parte accionante ni la pericia contable referida en el párrafo anterior se han basado en los libros de contabilidad que exige la ley de ninguna de las partes litigantes. Pero fundamentalmente debo agregar que la propia actora no puso a disposición sus propios libros o contabilidad, siendo aquello de vital relevancia para el reclamo de la deuda que alega. Dicho incumplimiento determina que el saldo deudor cuya ejecución se pretende haya sido establecido sobre la base de una certificación contable confeccionada a partir del Libro IVA. Sin embargo, dicho instrumento no refleja la realidad del vínculo contractual (en caso de haber existido), toda vez que la finalidad de aquel registro contable es estrictamente tributaria.</w:t>
      </w:r>
    </w:p>
    <w:p>
      <w:pPr>
        <w:pStyle w:val="[Normal]"/>
        <w:spacing w:line="360" w:lineRule="auto"/>
        <w:ind w:firstLine="1134"/>
        <w:jc w:val="both"/>
        <w:rPr>
          <w:lang w:val="es-AR" w:eastAsia="es-AR" w:bidi="es-AR"/>
        </w:rPr>
      </w:pPr>
      <w:r>
        <w:rPr>
          <w:lang w:val="es-AR" w:eastAsia="es-AR" w:bidi="es-AR"/>
        </w:rPr>
        <w:t xml:space="preserve">En esta tónica este Tribunal  en los autos " EMPORIO DIME S.R.L. C/ ANNAN MARCELA ALEJANDRA Y OTRO/A S/ COBRO EJECUTICO", expte 4038, se expidió al respecto diciendo que: "</w:t>
      </w:r>
      <w:r>
        <w:rPr>
          <w:i/>
          <w:lang w:val="es-AR" w:eastAsia="es-AR" w:bidi="es-AR"/>
        </w:rPr>
        <w:t xml:space="preserve">Que, la certificación contable sea realizada sobre la documentación Libro IVA Ventas, da cuenta que la obligación de llevar los libros de comercio tal como reza la norma, no ha sido cumplido y ello no puede favorecer al incumplidor dado que "... Es evidente la diferencia que se presenta, a los fines de su eficacia probatoria, entre los libros de comercio que son reputados indispensables por la legislación comercial y aquéllos otros libros que no revisten tal carácter, como sucede con los libros de IVA que son exigibles por disposiciones de orden fiscal; siendo por demás notoria la prevalencia que cabe asignarle a los primeros..."</w:t>
      </w:r>
      <w:r>
        <w:rPr>
          <w:lang w:val="es-AR" w:eastAsia="es-AR" w:bidi="es-AR"/>
        </w:rPr>
        <w:t xml:space="preserve">. (CC0000 PE 4038 163/2020 S 10/11/2020 Juez LOUISE (SD) JUBA B5073474.</w:t>
      </w:r>
    </w:p>
    <w:p>
      <w:pPr>
        <w:pStyle w:val="[Normal]"/>
        <w:spacing w:line="360" w:lineRule="auto"/>
        <w:ind w:firstLine="1134"/>
        <w:jc w:val="both"/>
        <w:rPr>
          <w:lang w:val="es-AR" w:eastAsia="es-AR" w:bidi="es-AR"/>
        </w:rPr>
      </w:pPr>
      <w:r>
        <w:rPr>
          <w:lang w:val="es-AR" w:eastAsia="es-AR" w:bidi="es-AR"/>
        </w:rPr>
        <w:t xml:space="preserve">En tales condiciones, y como conclusión necesaria de las consideraciones precedentemente desarrolladas, corresponde afirmar que la parte actora no ha logrado acreditar, con el grado de certeza que el ordenamiento procesal exige, la existencia del contrato de cuenta corriente cuyo saldo invoca como fundamento de su reclamo. Del mismo modo, tampoco ha quedado demostrada en autos la existencia de un crédito cierto, líquido y exigible a su favor, sellando por tanto la suerte negativa del recurso interpuesto, debiendo confirmarse la sentencia en crisis en todos sus términos.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2) Costas al apelante vencido. (art. 68 y 69 del CPCC). </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2) Costas al apelante vencido. (art. 68 y 69 del CPCC). </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14.697).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09:53:29 -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10:10:31 -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10:24:17 -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‰8]")è&amp;kraCŠ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246102090006758265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26/02/2026 10:24:29 hs. bajo el número RS-16-2026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