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4920-23</w:t>
      </w:r>
      <w:r>
        <w:rPr>
          <w:lang w:val="es-AR" w:eastAsia="es-AR" w:bidi="es-AR"/>
        </w:rPr>
        <w:t xml:space="preserve"> caratulada </w:t>
      </w:r>
      <w:r>
        <w:rPr>
          <w:b/>
          <w:lang w:val="es-AR" w:eastAsia="es-AR" w:bidi="es-AR"/>
        </w:rPr>
        <w:t xml:space="preserve">"</w:t>
      </w:r>
      <w:r>
        <w:rPr>
          <w:b/>
          <w:color w:val="000000"/>
          <w:lang w:val="es-AR" w:eastAsia="es-AR" w:bidi="es-AR"/>
        </w:rPr>
        <w:t xml:space="preserve">P. J. M. M. C/ G. E. S/ ALIMENTOS</w:t>
      </w:r>
      <w:r>
        <w:rPr>
          <w:b/>
          <w:lang w:val="es-AR" w:eastAsia="es-AR" w:bidi="es-AR"/>
        </w:rPr>
        <w:t xml:space="preserve">"</w:t>
      </w:r>
      <w:r>
        <w:rPr>
          <w:lang w:val="es-AR" w:eastAsia="es-AR" w:bidi="es-AR"/>
        </w:rPr>
        <w:t xml:space="preserve">, Expte. </w:t>
      </w:r>
      <w:r>
        <w:rPr>
          <w:color w:val="000000"/>
          <w:lang w:val="es-AR" w:eastAsia="es-AR" w:bidi="es-AR"/>
        </w:rPr>
        <w:t xml:space="preserve">34.039</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estudíados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w:t>
      </w:r>
      <w:r>
        <w:rPr>
          <w:color w:val="000000"/>
          <w:lang w:val="es-AR" w:eastAsia="es-AR" w:bidi="es-AR"/>
        </w:rPr>
        <w:t xml:space="preserve"> lugar a la demanda de alimentos entablada por la Sra. M. M.P. J.(DNI xxxxxxx) en representación de sus hijas menores de edad E.G.P. (DNI xxxxxxxxx) y C.G.P. (DNI xxxxxxxx) y fijó en concepto de cuota alimentaria que el demandado Sr. E. G. (DNI xxxxxxx) debe abonar a la actora, la suma de Pesos Cuatrocientos cincuenta mil ($450.000.-) la cual deberá ser depositada del 1 al 10 de cada mes, en la cuenta abierta a nombre de autos N°xxxxxxxxx C.B.U: xxxxxxxxxxx en el Banco de la Pcia. de Buenos Aires, sucursal centro de Pergamino con más el pago del 50% de la cuota y matrícula del Colegio xxxxxxxx o al que asistan las niñas y el 50% de las clases de baile y/o actividad que realicen (arts. 658, 659, y 660 del Código Civil y Comercial). Estableció que la presente cuota alimentaria debe abonarse por mes adelantado y rige a partir de la fecha de notificación de la demanda y su ampliación -12/7/2024- (arts. 669 y 548 del C.C.C.) a la que deberá deducirse la suma abonada por el alimentante en carácter de alimentos provisorios. Hizo saber al Sr. G.que las sumas debidas por alimentos por el incumplimiento en el plazo previsto devengarán una tasa de interés (activa) equivalente a la más alta que cobra el Banco de la Provincia de Buenos Aires a sus clientes, según las reglamentaciones del Banco Central de la República Argentina (art. 552 C.C.C.).  Difirió la fijación de cuota suplementaria para atender las cuotas alimentarias atrasadas desde la fecha de interposición de la demanda hasta la fecha de la presente, conforme lo establecido en el punto IV de los considerandos.  Estableció que los intereses devengados en concepto de alimentos atrasados con posterioridad a la presente sentencia se liquiden según las pautas establecidas en el punto V del considerando. Impusó las costas a la parte demandada (art. 68 Cód. Proc.). Difirió la regulación de honorarios para una vez que haya pautas para ello (art. 39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11-11-2025 por la parte demandada, concedido el 11-11-2025 en relación y con efecto devolutivo, fundado el 26-11-2025.  27-11-2025 traslado a la parte actora quien el 5-12-2025 lo evacuo.  11-12-2025 vista a la Sra. Asesora de Menores e Incapaces, quien la evacuo el 12-12-2025.  Elevados los autos a esta Alzada con fecha 5-2-2026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el escrito electrónico se encuentra agregada la queja del doliente que versa sucintamente sobre: a) arbitrariedad de la sentencia en tanto dice que ha prescindido de valoración de  prueba esencial obrante en autos, específicamente alude a la supuesta omisión  de considerar que las tareas de cuidado se comparten por ambos progenitores acudiendo al Expte. de divorcio tramitado donde describe días y horas repartidas entre ambos progenitores.  También achaca que en la audiencia de conciliación del día 26 de setiembre de 2024 las partes no llegaron a ningún acuerdo en relación a a cuota alimentaria, salvo el colegio.-</w:t>
      </w:r>
    </w:p>
    <w:p>
      <w:pPr>
        <w:pStyle w:val="[Normal]"/>
        <w:spacing w:line="360" w:lineRule="auto"/>
        <w:ind w:firstLine="1134"/>
        <w:jc w:val="both"/>
        <w:rPr>
          <w:lang w:val="es-AR" w:eastAsia="es-AR" w:bidi="es-AR"/>
        </w:rPr>
      </w:pPr>
      <w:r>
        <w:rPr>
          <w:lang w:val="es-AR" w:eastAsia="es-AR" w:bidi="es-AR"/>
        </w:rPr>
        <w:t xml:space="preserve">Señala que de la prueba rendida no surge superioridad económica de su parte y que ha de aplicarse el art. 666 del CCCN.-</w:t>
      </w:r>
    </w:p>
    <w:p>
      <w:pPr>
        <w:pStyle w:val="[Normal]"/>
        <w:spacing w:line="360" w:lineRule="auto"/>
        <w:ind w:firstLine="1134"/>
        <w:jc w:val="both"/>
        <w:rPr>
          <w:lang w:val="es-AR" w:eastAsia="es-AR" w:bidi="es-AR"/>
        </w:rPr>
      </w:pPr>
      <w:r>
        <w:rPr>
          <w:lang w:val="es-AR" w:eastAsia="es-AR" w:bidi="es-AR"/>
        </w:rPr>
        <w:t xml:space="preserve">Aduce que la sentencia reconoce el cuidado compartido y decide como si no existiera.-</w:t>
      </w:r>
    </w:p>
    <w:p>
      <w:pPr>
        <w:pStyle w:val="[Normal]"/>
        <w:spacing w:line="360" w:lineRule="auto"/>
        <w:ind w:firstLine="1134"/>
        <w:jc w:val="both"/>
        <w:rPr>
          <w:lang w:val="es-AR" w:eastAsia="es-AR" w:bidi="es-AR"/>
        </w:rPr>
      </w:pPr>
      <w:r>
        <w:rPr>
          <w:lang w:val="es-AR" w:eastAsia="es-AR" w:bidi="es-AR"/>
        </w:rPr>
        <w:t xml:space="preserve">El segundo achaque lo apontoca en una perspectiva de género que dice mal aplicada y el tercer punto en una valoración de la prueba que imputa como deficiente, achacando una doble imposición económica, entre cuota y gastos extraordinarios solicitando la reducción.-</w:t>
      </w:r>
    </w:p>
    <w:p>
      <w:pPr>
        <w:pStyle w:val="[Normal]"/>
        <w:spacing w:line="360" w:lineRule="auto"/>
        <w:ind w:firstLine="1134"/>
        <w:jc w:val="both"/>
        <w:rPr>
          <w:lang w:val="es-AR" w:eastAsia="es-AR" w:bidi="es-AR"/>
        </w:rPr>
      </w:pPr>
      <w:r>
        <w:rPr>
          <w:lang w:val="es-AR" w:eastAsia="es-AR" w:bidi="es-AR"/>
        </w:rPr>
        <w:t xml:space="preserve">A su turno la parte actora evacua el traslado con el patrocinio letrado respectivo, atacando los argumentos desplegados y señalando que el quejoso pretende otorgarle al cuidado personal compartido una entidad que en realidad no tiene, aduciendo que el mismo comparta el 50% de tiempo no lo exime de abonar la cuota, ya que los gastos comunes deben ser abonados en principio por mitades, lo cual no sucede en autos, ya que solo abona por mitades la cuota de bailes de E. y el colegio de ambas niñas, los demás gastos comunes dicen ser abonados por la progenitora.-</w:t>
      </w:r>
    </w:p>
    <w:p>
      <w:pPr>
        <w:pStyle w:val="[Normal]"/>
        <w:spacing w:line="360" w:lineRule="auto"/>
        <w:ind w:firstLine="1134"/>
        <w:jc w:val="both"/>
        <w:rPr>
          <w:lang w:val="es-AR" w:eastAsia="es-AR" w:bidi="es-AR"/>
        </w:rPr>
      </w:pPr>
      <w:r>
        <w:rPr>
          <w:lang w:val="es-AR" w:eastAsia="es-AR" w:bidi="es-AR"/>
        </w:rPr>
        <w:t xml:space="preserve">Argumenta que el demandado tiene mejor auto, moto, vive en casa propia que también es de la suscripta y sin pagar alquiler desde marzo de 2024, señalando que existe un desequilibrio económico entre las partes y que hay necesidad de cubrir esa diferencia.  Solicita la confirmación de la sentencia.-</w:t>
      </w:r>
    </w:p>
    <w:p>
      <w:pPr>
        <w:pStyle w:val="[Normal]"/>
        <w:spacing w:line="360" w:lineRule="auto"/>
        <w:ind w:firstLine="1134"/>
        <w:jc w:val="both"/>
        <w:rPr>
          <w:lang w:val="es-AR" w:eastAsia="es-AR" w:bidi="es-AR"/>
        </w:rPr>
      </w:pPr>
      <w:r>
        <w:rPr>
          <w:lang w:val="es-AR" w:eastAsia="es-AR" w:bidi="es-AR"/>
        </w:rPr>
        <w:t xml:space="preserve">Entrando a resolver la cuestión traída se ha señalado reiteradamente desde aquí que el quantum de la prestación alimentaria debe determinarse atendiendo el interés superior del niño y su derecho al sustento y a un nivel de vida adecuado (arts. 3 inc. 1, 6, 24, 27 inc. 1, 28 y 31 de la CDN; art. 75 inc. 22 CN).-</w:t>
      </w:r>
    </w:p>
    <w:p>
      <w:pPr>
        <w:pStyle w:val="[Normal]"/>
        <w:spacing w:line="360" w:lineRule="auto"/>
        <w:ind w:firstLine="1134"/>
        <w:jc w:val="both"/>
        <w:rPr>
          <w:lang w:val="es-AR" w:eastAsia="es-AR" w:bidi="es-AR"/>
        </w:rPr>
      </w:pPr>
      <w:r>
        <w:rPr>
          <w:lang w:val="es-AR" w:eastAsia="es-AR" w:bidi="es-AR"/>
        </w:rPr>
        <w:t xml:space="preserve">Las pautas para establecer el monto de la prestación alimentaria a que tienen derecho los menores   parten del sistema de igualdad de padre y madre que establece la normativa fondal incidiendo en ello la situación económica de las partes, pues el deber de contribución de los padres al sostenimiento de los hijos comunes es en proporción a sus recursos (arts. 646, 648 y. 455 del Código Civil y Comercial).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La causa exhibe distintas alternativas procesales que he de puntualizar: en la especie se trata de dos menores de edad, nacidas en el año 2017 y 2020, que la progenitora inició las actuaciones judiciales el 21 de octubre de 2022 conforme surge de la planilla de ingresos del expediente electrónico y a partir de esa fecha, múltiples incidencias procesales fueron tramitando hasta llegar al dictado de la sentencia definitiva que hoy fue puesta en crisis por el obligado al pago.-</w:t>
      </w:r>
    </w:p>
    <w:p>
      <w:pPr>
        <w:pStyle w:val="[Normal]"/>
        <w:spacing w:line="360" w:lineRule="auto"/>
        <w:ind w:firstLine="1134"/>
        <w:jc w:val="both"/>
        <w:rPr>
          <w:lang w:val="es-AR" w:eastAsia="es-AR" w:bidi="es-AR"/>
        </w:rPr>
      </w:pPr>
      <w:r>
        <w:rPr>
          <w:lang w:val="es-AR" w:eastAsia="es-AR" w:bidi="es-AR"/>
        </w:rPr>
        <w:t xml:space="preserve">Como antecedente puede citarse el pronunciamiento del operador de grado de fecha 24-11-2022 donde hiciera lugar parcialmente al pedido de cuota provisoria de alimentos solicitado por la actora para sus hijas en la suma de $ xxxxxx mensuales con más el pago de la mitad de las cuotas del Colegio xxxxxxxxx, estudios de baile y la guardería en Casa Norma de las niñas.-</w:t>
      </w:r>
    </w:p>
    <w:p>
      <w:pPr>
        <w:pStyle w:val="[Normal]"/>
        <w:spacing w:line="360" w:lineRule="auto"/>
        <w:ind w:firstLine="1134"/>
        <w:jc w:val="both"/>
        <w:rPr>
          <w:lang w:val="es-AR" w:eastAsia="es-AR" w:bidi="es-AR"/>
        </w:rPr>
      </w:pPr>
      <w:r>
        <w:rPr>
          <w:lang w:val="es-AR" w:eastAsia="es-AR" w:bidi="es-AR"/>
        </w:rPr>
        <w:t xml:space="preserve">Apelado ese decisorio este Tribunal dictó sentencia interlocutoria el 11/05/2023 incrementando el importe mensual de cuota provisoria fijando la suma de pesos cuarenta mil mensuales ($ xxxxx) con más el pago de las cuotas del Colegio xxxxxx de las dos menores y la mitad del estudio de baile a la que concurre una de las niñas. Desde aquella fecha han pasado varios años y distintas son las alternativas económicas que se fueron dando en el país, de público y notorio, así como la mayor edad de las niñas y el incremento de sus necesidades.-</w:t>
      </w:r>
    </w:p>
    <w:p>
      <w:pPr>
        <w:pStyle w:val="[Normal]"/>
        <w:spacing w:line="360" w:lineRule="auto"/>
        <w:ind w:firstLine="1134"/>
        <w:jc w:val="both"/>
        <w:rPr>
          <w:lang w:val="es-AR" w:eastAsia="es-AR" w:bidi="es-AR"/>
        </w:rPr>
      </w:pPr>
      <w:r>
        <w:rPr>
          <w:lang w:val="es-AR" w:eastAsia="es-AR" w:bidi="es-AR"/>
        </w:rPr>
        <w:t xml:space="preserve">Ahora se está controvirtiendo por el obligado al pago la suma fijada por el operador en la sentencia definitiva, luego de tramitar todo un proceso de alimentos.-</w:t>
      </w:r>
    </w:p>
    <w:p>
      <w:pPr>
        <w:pStyle w:val="[Normal]"/>
        <w:spacing w:line="360" w:lineRule="auto"/>
        <w:ind w:firstLine="1134"/>
        <w:jc w:val="both"/>
        <w:rPr>
          <w:lang w:val="es-AR" w:eastAsia="es-AR" w:bidi="es-AR"/>
        </w:rPr>
      </w:pPr>
      <w:r>
        <w:rPr>
          <w:lang w:val="es-AR" w:eastAsia="es-AR" w:bidi="es-AR"/>
        </w:rPr>
        <w:t xml:space="preserve">No resulta atendible el agravio centrado en una deficiente y arbitraria valoración de la prueba que se achaca puesto que el Juez de Familia ha evaluado la potencialidad económica de ambos padres y se han meritado por el operador los elementos probatorios rendidos en autos, tales como: el informe de ARCA del cual desprende que el Sr. G. tiene registrada actividad económica Servicios de Preparación de Comidas para empresas y eventos. Que es parte de la sociedad "xx y xx Distribuidora S.A.S.". Y que la progenitora trabaja en relación de dependencia en el Municipio de Pergamino, que tiene un cotillón por entonces, ya que a traer los agravios la misma indica que se desprendió porque le daba pérdidas.  Evaluando que el demandado vive en la casa que fue asiento del hogar conyugal sin pagar alquiler y que es titular registral de una moto y un auto.-</w:t>
      </w:r>
    </w:p>
    <w:p>
      <w:pPr>
        <w:pStyle w:val="[Normal]"/>
        <w:spacing w:line="360" w:lineRule="auto"/>
        <w:ind w:firstLine="1134"/>
        <w:jc w:val="both"/>
        <w:rPr>
          <w:lang w:val="es-AR" w:eastAsia="es-AR" w:bidi="es-AR"/>
        </w:rPr>
      </w:pPr>
      <w:r>
        <w:rPr>
          <w:lang w:val="es-AR" w:eastAsia="es-AR" w:bidi="es-AR"/>
        </w:rPr>
        <w:t xml:space="preserve">Todo ello lo ha desprendido de la prueba producida en autos y que ha analizado minuciosamente el operador de grado, tal como oficio de Telecom y Seguro Metal, contestación de ARCA, contestación del Boletín Oficial, documentación de la firma "xxx y xxx Distribuidora S.A.S.", oficio de Litoral Gas, contestación de Migraciones, oficio de la contadora xxxxx, oficio de Mercado Libre y Directo Ritell, contestación de xxxxxx y la contadora xxxxxxx, Registro nacional de la Propiedad Inmueble, Afip, oficio de la Cooperativa Eléctrica de Pergamino, contestaciones de Mercado Libre del año 2025, Oficio del Municipio de Pergamino, contestaciones del Registro Nacional Automotor y el informe del domicilio histórico. Justamente lo que no puede reprocharse es arbitrariedad u omisión de valoración del material probatorio, a todo evento el quejoso estará expresando su disconformidad con lo decidido que le es adverso, pero ello no torna arbitraria la tarea del juzgador (art. 384, 386 del CPCC y su doctrina.-</w:t>
      </w:r>
    </w:p>
    <w:p>
      <w:pPr>
        <w:pStyle w:val="[Normal]"/>
        <w:spacing w:line="360" w:lineRule="auto"/>
        <w:ind w:firstLine="1134"/>
        <w:jc w:val="both"/>
        <w:rPr>
          <w:lang w:val="es-AR" w:eastAsia="es-AR" w:bidi="es-AR"/>
        </w:rPr>
      </w:pPr>
      <w:r>
        <w:rPr>
          <w:lang w:val="es-AR" w:eastAsia="es-AR" w:bidi="es-AR"/>
        </w:rPr>
        <w:t xml:space="preserve">"En materia de alimentos, cuando no es posible la obtención de la prueba directa de los ingresos con que cuenta el obligado, o no pueda decirse que los mismos sean iguales todos los meses, la cuota debe fijarse en base a los indicios que permiten presumir determinada situación económica y de ganancias del demandado, cuya apreciación ha de hacerse con criterio amplio a favor de la prestación que se reclama en razón de las necesidades a satisfacer." (confr.CC0100 SN causa11640 S16/10/2014).- </w:t>
      </w:r>
    </w:p>
    <w:p>
      <w:pPr>
        <w:pStyle w:val="[Normal]"/>
        <w:spacing w:line="360" w:lineRule="auto"/>
        <w:ind w:firstLine="1134"/>
        <w:jc w:val="both"/>
        <w:rPr>
          <w:lang w:val="es-AR" w:eastAsia="es-AR" w:bidi="es-AR"/>
        </w:rPr>
      </w:pPr>
      <w:r>
        <w:rPr>
          <w:lang w:val="es-AR" w:eastAsia="es-AR" w:bidi="es-AR"/>
        </w:rPr>
        <w:t xml:space="preserve">"No es necesaria la determinación exacta de la capacidad económica, si hay otros elementos de los que deducirla. (confr. este Tribunal causas Nº 687 RSD 113/10; Nº 1571 RSD 51/13) y se ha dicho también desde organismos de alzada, que 'El caudal económico del demandado por alimentos puede acreditarse directa o indirectamente.  En este último caso, emerge de la forma habitual en que desarrolla su vida y los recursos económicos que presupone, valorados por ejemplo a través de sus actividades, pues su exteriorización implica la existencia de medios suficientes para desenvolverlas.  Es decir, más allá de la prueba directa sobre el monto de los ingresos mensuales, también son decisivos los elementos indiciarios sobre la condición social del alimentante' (confr. Cám. Civ. y Com. DO, causa 86722, RSD 55/08)" (confr. este Tribunal causa N° 1825-13 RSD 108/13).-</w:t>
      </w:r>
    </w:p>
    <w:p>
      <w:pPr>
        <w:pStyle w:val="[Normal]"/>
        <w:spacing w:line="360" w:lineRule="auto"/>
        <w:ind w:firstLine="1134"/>
        <w:jc w:val="both"/>
        <w:rPr>
          <w:lang w:val="es-AR" w:eastAsia="es-AR" w:bidi="es-AR"/>
        </w:rPr>
      </w:pPr>
      <w:r>
        <w:rPr>
          <w:lang w:val="es-AR" w:eastAsia="es-AR" w:bidi="es-AR"/>
        </w:rPr>
        <w:t xml:space="preserve">También ha de evaluarse que la vivienda donde reside actualmente  el demandado fue el asiento del hogar conyugal, sin que se haya controvertido este dato que oportunamente fue meritado por este Tribunal en anterior pronunciamiento y que se ha ratificado por la actora al evacuar el traslado mencionando que esa circunstancia sigue del mismo modo.-</w:t>
      </w:r>
    </w:p>
    <w:p>
      <w:pPr>
        <w:pStyle w:val="[Normal]"/>
        <w:spacing w:line="360" w:lineRule="auto"/>
        <w:ind w:firstLine="1134"/>
        <w:jc w:val="both"/>
        <w:rPr>
          <w:lang w:val="es-AR" w:eastAsia="es-AR" w:bidi="es-AR"/>
        </w:rPr>
      </w:pPr>
      <w:r>
        <w:rPr>
          <w:lang w:val="es-AR" w:eastAsia="es-AR" w:bidi="es-AR"/>
        </w:rPr>
        <w:t xml:space="preserve">Las actividades que le atribuyen al accionado no han sido desvirtuadas, no siendo suficiente la mera negativa, tal como la vinculación con Directo Real o sus negocios con la gastronomía, sin que se haya traído prueba para neutralizar las presunciones, lo que indica claramente que esa actitud pasiva no puede beneficiarlo sino que recae sobre él un deber de colaboración probatoria que no se ha vislumbrado en la especie.-</w:t>
      </w:r>
    </w:p>
    <w:p>
      <w:pPr>
        <w:pStyle w:val="[Normal]"/>
        <w:spacing w:line="360" w:lineRule="auto"/>
        <w:ind w:firstLine="1134"/>
        <w:jc w:val="both"/>
        <w:rPr>
          <w:lang w:val="es-AR" w:eastAsia="es-AR" w:bidi="es-AR"/>
        </w:rPr>
      </w:pPr>
      <w:r>
        <w:rPr>
          <w:lang w:val="es-AR" w:eastAsia="es-AR" w:bidi="es-AR"/>
        </w:rPr>
        <w:t xml:space="preserve">La determinación del caudal económico si bien se ha expresado a la fecha de los informes, permiten inferir la actividad, la antigüedad, sus probables ingresos que considerados a la luz del proceso inflacionario argentino, que es de público y notorio, permiten inferir su capacidad económica, y todo ello evaluado por el juez de grado de acuerdo a las reglas de la sana crítica (art. 384 del CPCC y su doctrina).-</w:t>
      </w:r>
    </w:p>
    <w:p>
      <w:pPr>
        <w:pStyle w:val="[Normal]"/>
        <w:spacing w:line="360" w:lineRule="auto"/>
        <w:ind w:firstLine="1134"/>
        <w:jc w:val="both"/>
        <w:rPr>
          <w:lang w:val="es-AR" w:eastAsia="es-AR" w:bidi="es-AR"/>
        </w:rPr>
      </w:pPr>
      <w:r>
        <w:rPr>
          <w:lang w:val="es-AR" w:eastAsia="es-AR" w:bidi="es-AR"/>
        </w:rPr>
        <w:t xml:space="preserve">También el juez ha evaluado la prueba testimonial producida, de la cual surge una coincidencia entre los deponentes acerca de las actividades de las menores, de que la actora vive con su nueva pareja en una casa que alquilan, coinciden en que la misma trabaja en el Municipio y que tenia un cotillón, y que el demandado se relaciona con el rubro gastronómico, no surgiendo de los dichos de los mismos algún dato que permita poner en duda las restantes probanzas meritadas.-</w:t>
      </w:r>
    </w:p>
    <w:p>
      <w:pPr>
        <w:pStyle w:val="[Normal]"/>
        <w:spacing w:line="360" w:lineRule="auto"/>
        <w:ind w:firstLine="1134"/>
        <w:jc w:val="both"/>
        <w:rPr>
          <w:lang w:val="es-AR" w:eastAsia="es-AR" w:bidi="es-AR"/>
        </w:rPr>
      </w:pPr>
      <w:r>
        <w:rPr>
          <w:lang w:val="es-AR" w:eastAsia="es-AR" w:bidi="es-AR"/>
        </w:rPr>
        <w:t xml:space="preserve">El reproche de una doble imposición no puede ser atendida en tanto la fijación de parte en efectivo y parte en especie como lo recoge el aquo es una herramienta a la que se puede acudir a fin de obtener una actualización de la cuota al ritmo inflacionario que es de público y notorio azota a nuestro país. Ello en cuanto, "si bien actualiza -en su plenitud- el incremento del costo de vida de aquellos ítems de la cuota alimentaria que se abonan en especie, lo hacen de forma indirecta, no estando prohibida esa forma de actualización en materia de alimentos" (Cfr. Claudio A. Belluscio, Alimentos según el nuevo Código Civil, Ed. García Alonso, Bs. As. 2015, Pag. 102).-</w:t>
      </w:r>
    </w:p>
    <w:p>
      <w:pPr>
        <w:pStyle w:val="[Normal]"/>
        <w:spacing w:line="360" w:lineRule="auto"/>
        <w:ind w:firstLine="1134"/>
        <w:jc w:val="both"/>
        <w:rPr>
          <w:lang w:val="es-AR" w:eastAsia="es-AR" w:bidi="es-AR"/>
        </w:rPr>
      </w:pPr>
      <w:r>
        <w:rPr>
          <w:lang w:val="es-AR" w:eastAsia="es-AR" w:bidi="es-AR"/>
        </w:rPr>
        <w:t xml:space="preserve">Otro tema vinculado con la forma del cuidado traído por el accionado, requiere aclarar que en principio corresponde a ambos progenitores en la proporción de sus respectivos ingresos la obligación alimentaria, debiendo considerarse la contribución del progenitor con quien el hijo reside de manera principal (doctr. art. 650 y ccs. del CCC), pues éste realiza aportes en especie de significación económica, además de la atención que presta al hijo en los múltiples requerimientos cotidianos, y que implica una inversión de tiempo a la que debe atribuiírsele valor.  Aquí ambos han reconocido que tienen a los menores en forma alternada por semana, incluso en algún momento han determinado los días que cada quien permanece con las niñas; pero ello no implica que la progenitora tiene una carga mayor en el cuidado diario, rutinas, deberes, actividades y que si bien eso no puede expresarse en forma numérica hace presumir una mayor tarea que requiere compensación.  El cuidado compartido o alternado no invalidan la pertinente contribución que debe hacer el progenitor, porque hay innumerables gastos, apoyos, atención y cuidados que la madre asume a diario.-</w:t>
      </w:r>
    </w:p>
    <w:p>
      <w:pPr>
        <w:pStyle w:val="[Normal]"/>
        <w:spacing w:line="360" w:lineRule="auto"/>
        <w:ind w:firstLine="1134"/>
        <w:jc w:val="both"/>
        <w:rPr>
          <w:lang w:val="es-AR" w:eastAsia="es-AR" w:bidi="es-AR"/>
        </w:rPr>
      </w:pPr>
      <w:r>
        <w:rPr>
          <w:lang w:val="es-AR" w:eastAsia="es-AR" w:bidi="es-AR"/>
        </w:rPr>
        <w:t xml:space="preserve">Esta modalidad indistinta o compartida está expresamente prevista en el art. 666 del CCyC y la doctrina ha sostenido que "la obligación alimentaria no asumiría una correlación con el tiempo que está el hijo con cada uno de los progenitores, sino con el ingreso de cada uno de ellos.  La pauta definitoria de los alimentos en el citado artículo en cualquiera de las modalidades del cuidado compartido, sería la equivalencia o no de los ingresos de uno y otro progenitor, a punto tal que en la hipótesis de padres no convivientes y que cuenten con recursos equivalentes, no correspondería fijar una cuota alimentaria a cargo de alguno de ellos.." "Lloveras Noran 2 Código Civil y Comercial de la Nación dir. por Alberto Bueres, t. 2 pág. 769.-</w:t>
      </w:r>
    </w:p>
    <w:p>
      <w:pPr>
        <w:pStyle w:val="[Normal]"/>
        <w:spacing w:line="360" w:lineRule="auto"/>
        <w:ind w:firstLine="1134"/>
        <w:jc w:val="both"/>
        <w:rPr>
          <w:lang w:val="es-AR" w:eastAsia="es-AR" w:bidi="es-AR"/>
        </w:rPr>
      </w:pPr>
      <w:r>
        <w:rPr>
          <w:lang w:val="es-AR" w:eastAsia="es-AR" w:bidi="es-AR"/>
        </w:rPr>
        <w:t xml:space="preserve">Desde aquí entonces y en la aplicación de dicha norma, con la prueba producida se infiere que la potencialidad económica del progenitor es mayor a la actora, no solo por el tipo de actividad de cada uno de ellos, sino porque las pruebas arrimadas dan por acreditado que el accionado tiene mayores posibilidades de solventar los gastos y esa afirmación la base en la prueba analizada supra, por lo que en aplicación del art. 666 del CCCN probada la modalidad compartida, y los mayores ingresos del progenitor, la cuota será distribuida en base a ese parámetro; que ha sido bien meritado por  el Juez de familia.-</w:t>
      </w:r>
    </w:p>
    <w:p>
      <w:pPr>
        <w:pStyle w:val="[Normal]"/>
        <w:spacing w:line="360" w:lineRule="auto"/>
        <w:ind w:firstLine="1134"/>
        <w:jc w:val="both"/>
        <w:rPr>
          <w:lang w:val="es-AR" w:eastAsia="es-AR" w:bidi="es-AR"/>
        </w:rPr>
      </w:pPr>
      <w:r>
        <w:rPr>
          <w:lang w:val="es-AR" w:eastAsia="es-AR" w:bidi="es-AR"/>
        </w:rPr>
        <w:t xml:space="preserve">Sobre la mal aplicada perspectiva de género que menciona la quejosa, no comparto la crítica en tanto el sentenciante ha intervenido activamente procurando la protección de los derechos de todos aquellos involucrados en el conflicto intrafamiliar, tanto el actor, como la demandada y particularmente los menores. Es decir, que lejos se encontró el actuar del a quo de desentenderse de las particulares circunstancias de la causa resolviendo sin perspectiva de género, cuando ha articulado todos los medios a su alcance para conocer acabadamente la realidad familiar procurando la articulación de medidas de protección.-</w:t>
      </w:r>
    </w:p>
    <w:p>
      <w:pPr>
        <w:pStyle w:val="[Normal]"/>
        <w:spacing w:line="360" w:lineRule="auto"/>
        <w:ind w:firstLine="1134"/>
        <w:jc w:val="both"/>
        <w:rPr>
          <w:lang w:val="es-AR" w:eastAsia="es-AR" w:bidi="es-AR"/>
        </w:rPr>
      </w:pPr>
      <w:r>
        <w:rPr>
          <w:lang w:val="es-AR" w:eastAsia="es-AR" w:bidi="es-AR"/>
        </w:rPr>
        <w:t xml:space="preserve">Tampoco se desprende de los fundamentos dados en su sentencia ni banalización ni reducción arbitraria de la aplicación de estándares jurídicos derivados de los Tratados Internacionales y plasmados por la Corte Interamericana de Derechos Humanos, la Corte Suprema de la Nación y la Suprema Corte de la Provincia de Buenos Aires en sus fallos.-</w:t>
      </w:r>
    </w:p>
    <w:p>
      <w:pPr>
        <w:pStyle w:val="[Normal]"/>
        <w:spacing w:line="360" w:lineRule="auto"/>
        <w:ind w:firstLine="1134"/>
        <w:jc w:val="both"/>
        <w:rPr>
          <w:lang w:val="es-AR" w:eastAsia="es-AR" w:bidi="es-AR"/>
        </w:rPr>
      </w:pPr>
      <w:r>
        <w:rPr>
          <w:lang w:val="es-AR" w:eastAsia="es-AR" w:bidi="es-AR"/>
        </w:rPr>
        <w:t xml:space="preserve">El art. 660 del ccc le otorga un valor económico a las funciones de atención, supervisión, desarrollo y dirección de la vida cotidiana, ya que implica un esfuerzo físico y mental imprescindible que insume un tiempo real (conf. Pellegrini, María Victoria, comentario art. 660, Infojus, T II, p 509). Pesa, entonces, la mirada obligada con perspectiva de género, el principio de igualdad real de hombres y mujeres, especialmente, en las tareas de cuidado (conf. principios y garantías de la CEDAW y art. 1, 2 y 660 CCyC), por medio de la cual, de no tomar estas tareas como aportes de carácter económico por parte de la madre, se caería en una mirada estereotipada del rol de las mujeres en las familias (art. 5 ley 26.485). CC0003 LZ 11993 09 246 S 07/11/2019 Juez ALTIERI.-</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en todas sus partes.-</w:t>
      </w:r>
    </w:p>
    <w:p>
      <w:pPr>
        <w:pStyle w:val="[Normal]"/>
        <w:spacing w:line="360" w:lineRule="auto"/>
        <w:ind w:firstLine="1134"/>
        <w:jc w:val="both"/>
        <w:rPr>
          <w:lang w:val="es-AR" w:eastAsia="es-AR" w:bidi="es-AR"/>
        </w:rPr>
      </w:pPr>
      <w:r>
        <w:rPr>
          <w:lang w:val="es-AR" w:eastAsia="es-AR" w:bidi="es-AR"/>
        </w:rPr>
        <w:t xml:space="preserve">Costas al demandado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la letradas hasta tanto obren los de primera instancia (art. 51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la sentencia en todas sus partes.-</w:t>
      </w:r>
    </w:p>
    <w:p>
      <w:pPr>
        <w:pStyle w:val="[Normal]"/>
        <w:spacing w:line="360" w:lineRule="auto"/>
        <w:ind w:firstLine="1134"/>
        <w:jc w:val="both"/>
        <w:rPr>
          <w:lang w:val="es-AR" w:eastAsia="es-AR" w:bidi="es-AR"/>
        </w:rPr>
      </w:pPr>
      <w:r>
        <w:rPr>
          <w:lang w:val="es-AR" w:eastAsia="es-AR" w:bidi="es-AR"/>
        </w:rPr>
        <w:t xml:space="preserve">Costas al demandado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la letradas hasta tanto obren los de primera instancia (art. 51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