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5935-25</w:t>
      </w:r>
      <w:r>
        <w:rPr>
          <w:lang w:val="es-AR" w:eastAsia="es-AR" w:bidi="es-AR"/>
        </w:rPr>
        <w:t xml:space="preserve"> caratulada </w:t>
      </w:r>
      <w:r>
        <w:rPr>
          <w:b/>
          <w:lang w:val="es-AR" w:eastAsia="es-AR" w:bidi="es-AR"/>
        </w:rPr>
        <w:t xml:space="preserve">"</w:t>
      </w:r>
      <w:r>
        <w:rPr>
          <w:b/>
          <w:color w:val="000000"/>
          <w:lang w:val="es-AR" w:eastAsia="es-AR" w:bidi="es-AR"/>
        </w:rPr>
        <w:t xml:space="preserve">J. R., T. S. C/ B., J. M. S/ INCIDENTE DE ALIMENTOS</w:t>
      </w:r>
      <w:r>
        <w:rPr>
          <w:b/>
          <w:lang w:val="es-AR" w:eastAsia="es-AR" w:bidi="es-AR"/>
        </w:rPr>
        <w:t xml:space="preserve">"</w:t>
      </w:r>
      <w:r>
        <w:rPr>
          <w:lang w:val="es-AR" w:eastAsia="es-AR" w:bidi="es-AR"/>
        </w:rPr>
        <w:t xml:space="preserve">, Expte. N° 46.589 del Juzgado de Paz Letrado de Colón, se practicó el sorteo de ley que determinó que la votación debía efectuarse en el siguiente orden: Roberto  Degleue y Graciela Scaraffía,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La señora Jueza de la anterior instancia falló en la presente haciendo lugar a la demanda incoada por la Sra. T. S. J. R., en representación de su hija B., M., contra el Sr. J. M. B., quien deberá abonar como nueva obligación alimentaria la cuota mensual que ascienda a la suma que represente el veinticinco por ciento (25%) que por todo concepto perciba o la suma de una canasta de crianza correspondiente a la franja etaria de la parte alimentada y vigente al momento de exigibilidad de la cuota, de ambas la que resulte mayor. Asimismo, dispuso que la cuota fijada tiene efecto retroactivo a la fecha de inicio de la demanda. Aplicó las  costas a la parte demandada y difirió la determinación de la cuota suplementaria de alimentos hasta tanto obre en autos liquidación firme practicada por la parte interesada. En resolución separada reguló honorarios de la Asesora Ad Hoc y de los que le corresponden a las letradas Laura Orsini y Lara Costamagna. </w:t>
      </w:r>
    </w:p>
    <w:p>
      <w:pPr>
        <w:pStyle w:val="[Normal]"/>
        <w:spacing w:line="360" w:lineRule="auto"/>
        <w:ind w:firstLine="1134"/>
        <w:jc w:val="both"/>
        <w:rPr>
          <w:lang w:val="es-AR" w:eastAsia="es-AR" w:bidi="es-AR"/>
        </w:rPr>
      </w:pPr>
      <w:r>
        <w:rPr>
          <w:lang w:val="es-AR" w:eastAsia="es-AR" w:bidi="es-AR"/>
        </w:rPr>
        <w:t xml:space="preserve">Mediante la presentación de fecha 23 de septiembre de 2025 interpuso recurso de apelación la parte demandada, fundado en el acto de su interposición. Conferido el traslado pertinente fue contestado por la contraria en fecha 7/10/2025.</w:t>
      </w:r>
    </w:p>
    <w:p>
      <w:pPr>
        <w:pStyle w:val="[Normal]"/>
        <w:spacing w:line="360" w:lineRule="auto"/>
        <w:ind w:firstLine="1134"/>
        <w:jc w:val="both"/>
        <w:rPr>
          <w:lang w:val="es-AR" w:eastAsia="es-AR" w:bidi="es-AR"/>
        </w:rPr>
      </w:pPr>
      <w:r>
        <w:rPr>
          <w:lang w:val="es-AR" w:eastAsia="es-AR" w:bidi="es-AR"/>
        </w:rPr>
        <w:t xml:space="preserve">Previa vista a la señora Asesora de Incapaces que fuera evacuada en fecha 18/11/2025, se elevaron los autos a esta Alzada donde se dictó el llamamiento de autos de fecha 11/12/2025.</w:t>
      </w:r>
    </w:p>
    <w:p>
      <w:pPr>
        <w:pStyle w:val="[Normal]"/>
        <w:spacing w:line="360" w:lineRule="auto"/>
        <w:ind w:firstLine="1134"/>
        <w:jc w:val="both"/>
        <w:rPr>
          <w:lang w:val="es-AR" w:eastAsia="es-AR" w:bidi="es-AR"/>
        </w:rPr>
      </w:pPr>
      <w:r>
        <w:rPr>
          <w:lang w:val="es-AR" w:eastAsia="es-AR" w:bidi="es-AR"/>
        </w:rPr>
        <w:t xml:space="preserve">En su memorial el recurrente cuestiona el monto fijado el cual tacha de elevado y desproporcionado teniendo en cuenta las circunstancias particulares del obligado, quien vive y trabaja en Río Grande, Tierra del Fuego. Señala que resulta de publico y notorio que vivir en el sur de nuestro país lo que implica un costo de vida más alto que el de la Provincia de Buenos Aires, por lo tanto, la cuota fijada resulta elevada y le deja poco margen para sobrevivir con su ingreso, lo que torna imposible el cumplimiento de la obligación alimentaria impuesta, por ello solicita la revocación del fallo. Añade que mantener el monto determinado configuraría un enriquecimiento sin causa de la accionante.</w:t>
      </w:r>
    </w:p>
    <w:p>
      <w:pPr>
        <w:pStyle w:val="[Normal]"/>
        <w:spacing w:line="360" w:lineRule="auto"/>
        <w:ind w:firstLine="1134"/>
        <w:jc w:val="both"/>
        <w:rPr>
          <w:lang w:val="es-AR" w:eastAsia="es-AR" w:bidi="es-AR"/>
        </w:rPr>
      </w:pPr>
      <w:r>
        <w:rPr>
          <w:lang w:val="es-AR" w:eastAsia="es-AR" w:bidi="es-AR"/>
        </w:rPr>
        <w:t xml:space="preserve">Como segundo agravio cuestiona la regulación de honorarios en favor de la letrada Laura Orsini, al tener en consideración una base distinta para la regulación de los estipendios, pues al tratarse de un incidente se debió calcular sobre la diferencia entre la cuota anterior y la nueva determinada en sentencia. </w:t>
      </w:r>
    </w:p>
    <w:p>
      <w:pPr>
        <w:pStyle w:val="[Normal]"/>
        <w:spacing w:line="360" w:lineRule="auto"/>
        <w:ind w:firstLine="1134"/>
        <w:jc w:val="both"/>
        <w:rPr>
          <w:lang w:val="es-AR" w:eastAsia="es-AR" w:bidi="es-AR"/>
        </w:rPr>
      </w:pPr>
      <w:r>
        <w:rPr>
          <w:lang w:val="es-AR" w:eastAsia="es-AR" w:bidi="es-AR"/>
        </w:rPr>
        <w:t xml:space="preserve">Por último se agravia de la imposición de las costas. Cita jurisprudencia en apoyo de su planteo recursivo y solicita se revoque la sentencia atacada, con imposición de las costas de alzada a la actora.</w:t>
      </w:r>
    </w:p>
    <w:p>
      <w:pPr>
        <w:pStyle w:val="[Normal]"/>
        <w:spacing w:line="360" w:lineRule="auto"/>
        <w:ind w:firstLine="1134"/>
        <w:jc w:val="both"/>
        <w:rPr>
          <w:lang w:val="es-AR" w:eastAsia="es-AR" w:bidi="es-AR"/>
        </w:rPr>
      </w:pPr>
      <w:r>
        <w:rPr>
          <w:lang w:val="es-AR" w:eastAsia="es-AR" w:bidi="es-AR"/>
        </w:rPr>
        <w:t xml:space="preserve">En su conteste la actora rebate cada uno de los puntos de agravio y solicita se confirme el fallo recurrido.</w:t>
      </w:r>
    </w:p>
    <w:p>
      <w:pPr>
        <w:pStyle w:val="[Normal]"/>
        <w:spacing w:line="360" w:lineRule="auto"/>
        <w:ind w:firstLine="1134"/>
        <w:jc w:val="both"/>
        <w:rPr>
          <w:lang w:val="es-AR" w:eastAsia="es-AR" w:bidi="es-AR"/>
        </w:rPr>
      </w:pPr>
      <w:r>
        <w:rPr>
          <w:lang w:val="es-AR" w:eastAsia="es-AR" w:bidi="es-AR"/>
        </w:rPr>
        <w:t xml:space="preserve">A su turno la Asesora de Incapaces advierte que afrontada la nueva obligación alimentaria, el demandado cuenta con 3 SMVM para vivir y si bien refiere que no le alcanza el saldo que le queda, no manifiesta que gastos le quedan sin cubrir, por lo que solicita el rechazo de la pieza recursiva.</w:t>
      </w:r>
    </w:p>
    <w:p>
      <w:pPr>
        <w:pStyle w:val="[Normal]"/>
        <w:spacing w:line="360" w:lineRule="auto"/>
        <w:ind w:firstLine="1134"/>
        <w:jc w:val="both"/>
        <w:rPr>
          <w:lang w:val="es-AR" w:eastAsia="es-AR" w:bidi="es-AR"/>
        </w:rPr>
      </w:pPr>
      <w:r>
        <w:rPr>
          <w:lang w:val="es-AR" w:eastAsia="es-AR" w:bidi="es-AR"/>
        </w:rPr>
        <w:t xml:space="preserve">I.- Entrando a resolver, resulta dable recordar que la posibilidad de modificación de la cuota alimentaria siempre esta al alcance de la parte interesada, la que se encuentra supeditada a la efectiva variación de los presupuestos de hecho que fueron tenidos en cuenta para establecerla originariamente, sea que se modificaran las posibilidades del alimentante o las necesidades del alimentado.-</w:t>
      </w:r>
    </w:p>
    <w:p>
      <w:pPr>
        <w:pStyle w:val="[Normal]"/>
        <w:spacing w:line="360" w:lineRule="auto"/>
        <w:ind w:firstLine="1134"/>
        <w:jc w:val="both"/>
        <w:rPr>
          <w:lang w:val="es-AR" w:eastAsia="es-AR" w:bidi="es-AR"/>
        </w:rPr>
      </w:pPr>
      <w:r>
        <w:rPr>
          <w:lang w:val="es-AR" w:eastAsia="es-AR" w:bidi="es-AR"/>
        </w:rPr>
        <w:t xml:space="preserve">En tal sentido, ha dicho esta Alzada que ..</w:t>
      </w:r>
      <w:r>
        <w:rPr>
          <w:i/>
          <w:lang w:val="es-AR" w:eastAsia="es-AR" w:bidi="es-AR"/>
        </w:rPr>
        <w:t xml:space="preserve">.”la cuota alimentaria se mantiene inalterable en tanto subsistan los presupuestos de hecho en virtud de los cuales se la fijó, circunscribiéndose la posibilidad de modificación al cambio de circunstancias en que fuera fundada, ya por la variación del caudal de las partes o la modificación del estado de necesidad del alimentado”</w:t>
      </w:r>
      <w:r>
        <w:rPr>
          <w:lang w:val="es-AR" w:eastAsia="es-AR" w:bidi="es-AR"/>
        </w:rPr>
        <w:t xml:space="preserve"> (CAP 2071/14 RSD Nº 99-14, del 22 de septiembre de 2014).-</w:t>
      </w:r>
    </w:p>
    <w:p>
      <w:pPr>
        <w:pStyle w:val="[Normal]"/>
        <w:spacing w:line="360" w:lineRule="auto"/>
        <w:ind w:firstLine="1134"/>
        <w:jc w:val="both"/>
        <w:rPr>
          <w:lang w:val="es-AR" w:eastAsia="es-AR" w:bidi="es-AR"/>
        </w:rPr>
      </w:pPr>
      <w:r>
        <w:rPr>
          <w:lang w:val="es-AR" w:eastAsia="es-AR" w:bidi="es-AR"/>
        </w:rPr>
        <w:t xml:space="preserve">Lo que ha de colegirse con el criterio jurisprudencial atingente a que ...</w:t>
      </w:r>
      <w:r>
        <w:rPr>
          <w:i/>
          <w:lang w:val="es-AR" w:eastAsia="es-AR" w:bidi="es-AR"/>
        </w:rPr>
        <w:t xml:space="preserve">”a los efectos de analizar la procedencia de su aumento, debe tenerse en cuenta el lapso transcurrido desde la oportunidad en que se fijo hasta la actualidad a efectos de demostrar el cambio de las necesidades del menor en base a dos razones: a) la mayor edad del menor determina un aumento en los gastos referidos a la alimentación, vestido y erogaciones tendientes a satisfacer su vida de relación, de manera tal que la cuota alimentaria debe evolucionar en función de ese crecimiento y de las necesidades nuevas derivadas tanto de dichos rubros como de la escolaridad y de la intensificación de todas sus actividades, requiriéndose su adecuación cuando la cuota no responda debidamente a la cobertura de tales necesidades; y b) el poder adquisitivo que no se mantiene incólume en la agitada economía de nuestro país, pudiendo afirmarse que es un hecho publico y notorio que con el transcurso de los años no se adquiere la misma cantidad de bienes y servicios”</w:t>
      </w:r>
      <w:r>
        <w:rPr>
          <w:lang w:val="es-AR" w:eastAsia="es-AR" w:bidi="es-AR"/>
        </w:rPr>
        <w:t xml:space="preserve"> (CCO102 MP 145389 RSI411-10 10/0810 JUBA B1404630).-</w:t>
      </w:r>
    </w:p>
    <w:p>
      <w:pPr>
        <w:pStyle w:val="[Normal]"/>
        <w:spacing w:line="360" w:lineRule="auto"/>
        <w:ind w:firstLine="1134"/>
        <w:jc w:val="both"/>
        <w:rPr>
          <w:lang w:val="es-AR" w:eastAsia="es-AR" w:bidi="es-AR"/>
        </w:rPr>
      </w:pPr>
      <w:r>
        <w:rPr>
          <w:lang w:val="es-AR" w:eastAsia="es-AR" w:bidi="es-AR"/>
        </w:rPr>
        <w:t xml:space="preserve">En la especie, de las constancias obrantes en autos se vislumbra que las partes acordaron en junio del año 2018 una cuota alimentaria que ascendía a $3500, más la obra social, convenio que fue homologado en la causa caratulada "J. R. T. c/ B. J. M. y otro. S/ Alimentos".</w:t>
      </w:r>
    </w:p>
    <w:p>
      <w:pPr>
        <w:pStyle w:val="[Normal]"/>
        <w:spacing w:line="360" w:lineRule="auto"/>
        <w:ind w:firstLine="1134"/>
        <w:jc w:val="both"/>
        <w:rPr>
          <w:lang w:val="es-AR" w:eastAsia="es-AR" w:bidi="es-AR"/>
        </w:rPr>
      </w:pPr>
      <w:r>
        <w:rPr>
          <w:lang w:val="es-AR" w:eastAsia="es-AR" w:bidi="es-AR"/>
        </w:rPr>
        <w:t xml:space="preserve">Analizando las situación fáctica tenida en cuenta en aquel momento, la menor era una bebe que no alcanzaba el año de edad y el demandado aceptó ese monto en acuerdo que fuere oportunamente homologado.  Las circunstancias han cambiado hasta la fecha. En efecto hoy la niña cuenta con 9 años de edad y el demandado mantuvo su domicilio en Rio Grande, Tierra del Fuego, donde posee un trabajo en relación de dependencia. Tales circunstancias no se encuentran controvertidas entre las partes. </w:t>
      </w:r>
    </w:p>
    <w:p>
      <w:pPr>
        <w:pStyle w:val="[Normal]"/>
        <w:spacing w:line="360" w:lineRule="auto"/>
        <w:ind w:firstLine="1134"/>
        <w:jc w:val="both"/>
        <w:rPr>
          <w:lang w:val="es-AR" w:eastAsia="es-AR" w:bidi="es-AR"/>
        </w:rPr>
      </w:pPr>
      <w:r>
        <w:rPr>
          <w:lang w:val="es-AR" w:eastAsia="es-AR" w:bidi="es-AR"/>
        </w:rPr>
        <w:t xml:space="preserve">Se desprende de la contestación de oficio de ANSES de fecha 18/12/2024 que "</w:t>
      </w:r>
      <w:r>
        <w:rPr>
          <w:lang w:val="es-AR" w:eastAsia="es-AR" w:bidi="es-AR"/>
        </w:rPr>
        <w:t xml:space="preserve">...J. M. B., DNI xx.xxx.xxx. trabaja en relación de dependencia para Medifé Asociación Civil con un sueldo bruto de $ 1.769.076,02."</w:t>
      </w:r>
    </w:p>
    <w:p>
      <w:pPr>
        <w:pStyle w:val="[Normal]"/>
        <w:spacing w:line="360" w:lineRule="auto"/>
        <w:ind w:firstLine="1134"/>
        <w:jc w:val="both"/>
        <w:rPr>
          <w:lang w:val="es-AR" w:eastAsia="es-AR" w:bidi="es-AR"/>
        </w:rPr>
      </w:pPr>
      <w:r>
        <w:rPr>
          <w:lang w:val="es-AR" w:eastAsia="es-AR" w:bidi="es-AR"/>
        </w:rPr>
        <w:t xml:space="preserve">Lo arriba reseñado me llevan a considerar que habiendo transcurrido mas de 8 años desde el convenio alimentario luce ajustado a derecho el aumento admitido por la a quo. </w:t>
      </w:r>
    </w:p>
    <w:p>
      <w:pPr>
        <w:pStyle w:val="[Normal]"/>
        <w:spacing w:line="360" w:lineRule="auto"/>
        <w:ind w:firstLine="1134"/>
        <w:jc w:val="both"/>
        <w:rPr>
          <w:lang w:val="es-AR" w:eastAsia="es-AR" w:bidi="es-AR"/>
        </w:rPr>
      </w:pPr>
      <w:r>
        <w:rPr>
          <w:lang w:val="es-AR" w:eastAsia="es-AR" w:bidi="es-AR"/>
        </w:rPr>
        <w:t xml:space="preserve">Sabido es que "</w:t>
      </w:r>
      <w:r>
        <w:rPr>
          <w:i/>
          <w:lang w:val="es-AR" w:eastAsia="es-AR" w:bidi="es-AR"/>
        </w:rPr>
        <w:t xml:space="preserve">La cuota alimentaria que se fija en un proceso judicial es por esencia modificable, circunstancial y variable; su alteración -aumento o disminución- e incluso la cesación de la cuota de alimentos ya fijada por sentencia o convenio, procederá si ha habido con posterioridad a ese momento una variación de los presupuestos fácticos que se tuvieron en cuenta para establecerla.</w:t>
      </w:r>
      <w:r>
        <w:rPr>
          <w:lang w:val="es-AR" w:eastAsia="es-AR" w:bidi="es-AR"/>
        </w:rPr>
        <w:t xml:space="preserve">" (CC0201 LP 134131 340 S 24/09/2024 JUBA B259372).</w:t>
      </w:r>
    </w:p>
    <w:p>
      <w:pPr>
        <w:pStyle w:val="[Normal]"/>
        <w:spacing w:line="360" w:lineRule="auto"/>
        <w:ind w:firstLine="1134"/>
        <w:jc w:val="both"/>
        <w:rPr>
          <w:lang w:val="es-AR" w:eastAsia="es-AR" w:bidi="es-AR"/>
        </w:rPr>
      </w:pPr>
      <w:r>
        <w:rPr>
          <w:lang w:val="es-AR" w:eastAsia="es-AR" w:bidi="es-AR"/>
        </w:rPr>
        <w:t xml:space="preserve">Ahora bien, analizando el quantum del referido aumento, he de señalar que el agravio se centra en el mayor costo de vida que tiene el demandado por vivir en el sur del país, pero ello no debe ser atendido, pues el monto de los alimentos tienen que ajustarse a las necesidades de la menor.</w:t>
      </w:r>
    </w:p>
    <w:p>
      <w:pPr>
        <w:pStyle w:val="[Normal]"/>
        <w:spacing w:line="360" w:lineRule="auto"/>
        <w:ind w:firstLine="1134"/>
        <w:jc w:val="both"/>
        <w:rPr>
          <w:lang w:val="es-AR" w:eastAsia="es-AR" w:bidi="es-AR"/>
        </w:rPr>
      </w:pPr>
      <w:r>
        <w:rPr>
          <w:color w:val="000000"/>
          <w:lang w:val="es-AR" w:eastAsia="es-AR" w:bidi="es-AR"/>
        </w:rPr>
        <w:t xml:space="preserve">El quantum de la prestación alimentaria debe determinarse atendiendo el interés superior del niño y su derecho al sustento y a un nivel de vida adecuado (arts. 3 inc. 1, 6, 24, 27 inc. 1, 28 y 31 de la CDN; art. 75 inc. 22 CN). A lo que debe adunarse, que </w:t>
      </w:r>
      <w:r>
        <w:rPr>
          <w:lang w:val="es-AR" w:eastAsia="es-AR" w:bidi="es-AR"/>
        </w:rPr>
        <w:t xml:space="preserve">las necesidades que deben satisfacerse con la cuota son las enunciadas  en el art. 659 del Código Civil  y Comercial -que reproduce las disposiciones del art. 265 del CC derogado-, es decir, las vinculadas a la manutención, educación, esparcimiento, vestimenta, habitación, asistencia y gastos por enfermedad, y en relación a la edad de los mismos al momento de fijarlos, así como a la contribución que realiza el progenitor conviviente, a través del cuidado personal del menor (arts. 642; 658, 659 y ssg. del C.C.C. 646 del C.C.y C.).-</w:t>
      </w:r>
    </w:p>
    <w:p>
      <w:pPr>
        <w:pStyle w:val="[Normal]"/>
        <w:spacing w:line="360" w:lineRule="auto"/>
        <w:ind w:firstLine="1134"/>
        <w:jc w:val="both"/>
        <w:rPr>
          <w:lang w:val="es-AR" w:eastAsia="es-AR" w:bidi="es-AR"/>
        </w:rPr>
      </w:pPr>
      <w:r>
        <w:rPr>
          <w:lang w:val="es-AR" w:eastAsia="es-AR" w:bidi="es-AR"/>
        </w:rPr>
        <w:t xml:space="preserve">No desconozco que ambos progenitores deben cubrir las necesidades de sus hijos, pero sin lugar a dudas quien convive con la niña es la progenitora, a quien se le reconoce su aporte no solo económico sino el del tiempo que dedica a su cuidado y que se encuentra a cargo de la misma de manera exclusiva (doctr. art. 650 y ccs. del CCC). </w:t>
      </w:r>
    </w:p>
    <w:p>
      <w:pPr>
        <w:pStyle w:val="[Normal]"/>
        <w:spacing w:line="360" w:lineRule="auto"/>
        <w:ind w:firstLine="1134"/>
        <w:jc w:val="both"/>
        <w:rPr>
          <w:lang w:val="es-AR" w:eastAsia="es-AR" w:bidi="es-AR"/>
        </w:rPr>
      </w:pPr>
      <w:r>
        <w:rPr>
          <w:lang w:val="es-AR" w:eastAsia="es-AR" w:bidi="es-AR"/>
        </w:rPr>
        <w:t xml:space="preserve">Esto último no se encuentra controvertido, dado que el padre vive en Tierra del Fuego, y solo contribuye con la niña mediante un aporte económico, y tal extremo le posibilita a él, disponer de sus tiempos para su desarrollo profesional y así lograr mayores ingresos, beneficio y/o atribución que no cuenta la aquí actora, quien esta al cuidado permanente de la niña. </w:t>
      </w:r>
    </w:p>
    <w:p>
      <w:pPr>
        <w:pStyle w:val="[Normal]"/>
        <w:spacing w:line="360" w:lineRule="auto"/>
        <w:ind w:firstLine="1134"/>
        <w:jc w:val="both"/>
        <w:rPr>
          <w:lang w:val="es-AR" w:eastAsia="es-AR" w:bidi="es-AR"/>
        </w:rPr>
      </w:pPr>
      <w:r>
        <w:rPr>
          <w:lang w:val="es-AR" w:eastAsia="es-AR" w:bidi="es-AR"/>
        </w:rPr>
        <w:t xml:space="preserve">Hemos dicho desde aquí que </w:t>
      </w:r>
      <w:r>
        <w:rPr>
          <w:i/>
          <w:lang w:val="es-AR" w:eastAsia="es-AR" w:bidi="es-AR"/>
        </w:rPr>
        <w:t xml:space="preserve">"...la mera invocación de dificultades económicas no excusa el deber de cumplir la obligación alimentaria en su justa medida, a cuyos efectos debe realizar todos los esfuerzos que resulten necesarios a tal fin, mientras que la insuficiencia de sus recursos o falta de trabajo no se deba a circunstancias insalvables que deben ser debidamente acreditadas. (confr. en tal sent. doctr. SCBA, causa 93508, sent. del 2-7-2010).- Es que en el cumplimiento de los deberes alimentarios respecto de los hijos, se exige el mayor esfuerzo para obtener los recursos que permitan satisfacer, en forma adecuada, sus necesidades en cuanto a manutención, educación, esparcimiento y gastos por enfermedad de la progenie. El alimentante se encuentra constreñido a obtener los recursos para afrontar tal asistencia,  y no puede eximirse del cumplimiento de su obligación alimentaria con la simple manifestación de no tener ingresos suficientes o hallarse endeudado, pues debe priorizarse el interés superior del niño."</w:t>
      </w:r>
      <w:r>
        <w:rPr>
          <w:lang w:val="es-AR" w:eastAsia="es-AR" w:bidi="es-AR"/>
        </w:rPr>
        <w:t xml:space="preserve"> (CAP Causa N° 4474/21, RS-32-2022, de fecha 5/5/2022).</w:t>
      </w:r>
    </w:p>
    <w:p>
      <w:pPr>
        <w:pStyle w:val="[Normal]"/>
        <w:spacing w:line="360" w:lineRule="auto"/>
        <w:ind w:firstLine="1134"/>
        <w:jc w:val="both"/>
        <w:rPr>
          <w:lang w:val="es-AR" w:eastAsia="es-AR" w:bidi="es-AR"/>
        </w:rPr>
      </w:pPr>
      <w:r>
        <w:rPr>
          <w:lang w:val="es-AR" w:eastAsia="es-AR" w:bidi="es-AR"/>
        </w:rPr>
        <w:t xml:space="preserve">El recurrente, no solo omite manifestar que gastos no alcanza a cubrir necesarios para su subsistencia, sino que tampoco manifiesta poseer otras cargas familiares que le impidan cumplir con la obligación alimentaria impuesta (art. 375 del CPC). Sobre este punto he de coincidir con lo dictaminado por la Sra. Asesora de Incapaces, que sostuvo que deducida la cuota el demandado cuenta con más de 3 SMVM, monto que estimo suficiente para vivir en el mes (Cfr. consulta realizada en el sirio https://www.argentina.gob.ar/trabajo/consejodelsalario).</w:t>
      </w:r>
    </w:p>
    <w:p>
      <w:pPr>
        <w:pStyle w:val="[Normal]"/>
        <w:spacing w:line="360" w:lineRule="auto"/>
        <w:ind w:firstLine="1134"/>
        <w:jc w:val="both"/>
        <w:rPr>
          <w:lang w:val="es-AR" w:eastAsia="es-AR" w:bidi="es-AR"/>
        </w:rPr>
      </w:pPr>
      <w:r>
        <w:rPr>
          <w:lang w:val="es-AR" w:eastAsia="es-AR" w:bidi="es-AR"/>
        </w:rPr>
        <w:t xml:space="preserve">Todo lo hasta aquí dicho, me llevan a proponer al acuerdo la confirmación del aumento de la cuota en la proporción establecida por la operadora de grado. He de adunar que el porcentaje del 25 % de los haberes percibidos por el alimentante ha sido el criterio recientemente aplicado por esta Alzada en un caso análogo al presente al cual me remito (Causa 5892/25 - RS-9-2026).</w:t>
      </w:r>
    </w:p>
    <w:p>
      <w:pPr>
        <w:pStyle w:val="[Normal]"/>
        <w:spacing w:line="360" w:lineRule="auto"/>
        <w:ind w:firstLine="1134"/>
        <w:jc w:val="both"/>
        <w:rPr>
          <w:lang w:val="es-AR" w:eastAsia="es-AR" w:bidi="es-AR"/>
        </w:rPr>
      </w:pPr>
      <w:r>
        <w:rPr>
          <w:lang w:val="es-AR" w:eastAsia="es-AR" w:bidi="es-AR"/>
        </w:rPr>
        <w:t xml:space="preserve">II.- En cuanto al agravio sobre la imposición de las costas, el presente incidente es de naturaleza alimentaria, y no se advierte que la parte actora haya actuado sin razón, por lo que no resulta procedente apartarme del principio rector establecido en la materia. </w:t>
      </w:r>
    </w:p>
    <w:p>
      <w:pPr>
        <w:pStyle w:val="[Normal]"/>
        <w:spacing w:line="360" w:lineRule="auto"/>
        <w:ind w:firstLine="1134"/>
        <w:jc w:val="both"/>
        <w:rPr>
          <w:lang w:val="es-AR" w:eastAsia="es-AR" w:bidi="es-AR"/>
        </w:rPr>
      </w:pPr>
      <w:r>
        <w:rPr>
          <w:lang w:val="es-AR" w:eastAsia="es-AR" w:bidi="es-AR"/>
        </w:rPr>
        <w:t xml:space="preserve">Esta Alzada ha aplicado reiteradamente el criterio de que en materia de alimentos, son en principio a cargo del alimentante pues de lo contrario se desvirtuaría la esencia de la prestación, al gravarse cuotas cuya percepción se presume como una necesidad de subsistencia (confr. causas  C-6376, RSD 36/08; Nº 735/10 RSD 11/11; Nº 1571/12 RSD 51/13, Nº 2020 RSI 39 del 13/3/14,ent. ots.). Es que se trata de resguardar la incolumnidad que debe guardar la prestación debida en razón de su destino. Por ello, para apartarse de este principio, es necesario que la parte alimentada haya obrado sin razón o con una negligencia manifiesta al formular su pretensión (Cám.Civ. y Com. sala 2 SM causa 58119 RSD 193/06 ; sumario JUBA B 200360). Extremo que no se da en el caso traído.</w:t>
      </w:r>
    </w:p>
    <w:p>
      <w:pPr>
        <w:pStyle w:val="[Normal]"/>
        <w:spacing w:line="360" w:lineRule="auto"/>
        <w:ind w:firstLine="1134"/>
        <w:jc w:val="both"/>
        <w:rPr>
          <w:lang w:val="es-AR" w:eastAsia="es-AR" w:bidi="es-AR"/>
        </w:rPr>
      </w:pPr>
      <w:r>
        <w:rPr>
          <w:lang w:val="es-AR" w:eastAsia="es-AR" w:bidi="es-AR"/>
        </w:rPr>
        <w:t xml:space="preserve">III.- En cuanto a la apelación de los honorarios regulados en favor de la abogada Orsini, he de hacer lugar al cuestionamiento, pues para proceder a regular honorarios en el incidente de aumentos, el art. 39 de la Ley 14.967 expresamente dispone que se tomará como base la diferencia que resulte de la sentencia por el término de dos años, en base a la escala aplicable en los incidentes, no pudiendo ser inferior a 8 Jus.</w:t>
      </w:r>
    </w:p>
    <w:p>
      <w:pPr>
        <w:pStyle w:val="[Normal]"/>
        <w:spacing w:line="360" w:lineRule="auto"/>
        <w:ind w:firstLine="1134"/>
        <w:jc w:val="both"/>
        <w:rPr>
          <w:lang w:val="es-AR" w:eastAsia="es-AR" w:bidi="es-AR"/>
        </w:rPr>
      </w:pPr>
      <w:r>
        <w:rPr>
          <w:lang w:val="es-AR" w:eastAsia="es-AR" w:bidi="es-AR"/>
        </w:rPr>
        <w:t xml:space="preserve">Y haciendo un análisis de los montos regulados en la anterior sede en el punto 7 del resolutorio, se advierte que resultan elevados lo que me hace presumir que no se a tomado como base la diferencia sino el porcentaje fijado en su totalidad.</w:t>
      </w:r>
    </w:p>
    <w:p>
      <w:pPr>
        <w:pStyle w:val="[Normal]"/>
        <w:spacing w:line="360" w:lineRule="auto"/>
        <w:ind w:firstLine="1134"/>
        <w:jc w:val="both"/>
        <w:rPr>
          <w:lang w:val="es-AR" w:eastAsia="es-AR" w:bidi="es-AR"/>
        </w:rPr>
      </w:pPr>
      <w:r>
        <w:rPr>
          <w:lang w:val="es-AR" w:eastAsia="es-AR" w:bidi="es-AR"/>
        </w:rPr>
        <w:t xml:space="preserve">Mas aún, he de considerar que la regulación debe ser en los porcentajes establecidos para los incidentes (art. 47 de 14967) el cual reduce los porcentajes establecidos en el art. 21 de la ley de honorarios.</w:t>
      </w:r>
    </w:p>
    <w:p>
      <w:pPr>
        <w:pStyle w:val="[Normal]"/>
        <w:spacing w:line="360" w:lineRule="auto"/>
        <w:ind w:firstLine="1134"/>
        <w:jc w:val="both"/>
        <w:rPr>
          <w:lang w:val="es-AR" w:eastAsia="es-AR" w:bidi="es-AR"/>
        </w:rPr>
      </w:pPr>
      <w:r>
        <w:rPr>
          <w:lang w:val="es-AR" w:eastAsia="es-AR" w:bidi="es-AR"/>
        </w:rPr>
        <w:t xml:space="preserve">En razón de ello, resultando elevados los montos establecidos, corresponde dejar sin efecto la regulación de honorarios, debiendo el operador de grado, realizar una nueva regulación de honorarios a los letrados intervinientes teniendo en cuenta los parámetros dispuestos por la normativa citada (art. 21, 39, 47 Ley 14.967).</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el recurso de apelación interpuesto y en consecuencia confirmar la sentencia apelada en lo principal que decide, dejando sin efecto la regulación de los honorarios dictada</w:t>
      </w:r>
      <w:r>
        <w:rPr>
          <w:b/>
          <w:lang w:val="es-AR" w:eastAsia="es-AR" w:bidi="es-AR"/>
        </w:rPr>
        <w:t xml:space="preserve"> </w:t>
      </w:r>
      <w:r>
        <w:rPr>
          <w:lang w:val="es-AR" w:eastAsia="es-AR" w:bidi="es-AR"/>
        </w:rPr>
        <w:t xml:space="preserve">en el punto 7) del fallo</w:t>
      </w:r>
      <w:r>
        <w:rPr>
          <w:b/>
          <w:lang w:val="es-AR" w:eastAsia="es-AR" w:bidi="es-AR"/>
        </w:rPr>
        <w:t xml:space="preserve">, </w:t>
      </w:r>
      <w:r>
        <w:rPr>
          <w:lang w:val="es-AR" w:eastAsia="es-AR" w:bidi="es-AR"/>
        </w:rPr>
        <w:t xml:space="preserve">y confirmando el resto del decisorio en todas sus partes. </w:t>
      </w:r>
    </w:p>
    <w:p>
      <w:pPr>
        <w:pStyle w:val="[Normal]"/>
        <w:spacing w:line="360" w:lineRule="auto"/>
        <w:ind w:firstLine="1134"/>
        <w:jc w:val="both"/>
        <w:rPr>
          <w:lang w:val="es-AR" w:eastAsia="es-AR" w:bidi="es-AR"/>
        </w:rPr>
      </w:pPr>
      <w:r>
        <w:rPr>
          <w:lang w:val="es-AR" w:eastAsia="es-AR" w:bidi="es-AR"/>
        </w:rPr>
        <w:t xml:space="preserve">Imponer las costas de Alzada al alimentante (arts. 68/9 CPCC).</w:t>
      </w:r>
    </w:p>
    <w:p>
      <w:pPr>
        <w:pStyle w:val="[Normal]"/>
        <w:spacing w:line="360" w:lineRule="auto"/>
        <w:ind w:firstLine="1134"/>
        <w:jc w:val="both"/>
        <w:rPr>
          <w:lang w:val="es-AR" w:eastAsia="es-AR" w:bidi="es-AR"/>
        </w:rPr>
      </w:pPr>
      <w:r>
        <w:rPr>
          <w:lang w:val="es-AR" w:eastAsia="es-AR" w:bidi="es-AR"/>
        </w:rPr>
        <w:t xml:space="preserve">Diferir la regulación de honorarios de los letrados intervinientes para cuando obre en autos base firme para ello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parcialmente el recurso de apelación interpuesto y en consecuencia confirmar la sentencia apelada en lo principal que decide, dejando sin efecto la regulación de los honorarios dictada</w:t>
      </w:r>
      <w:r>
        <w:rPr>
          <w:b/>
          <w:lang w:val="es-AR" w:eastAsia="es-AR" w:bidi="es-AR"/>
        </w:rPr>
        <w:t xml:space="preserve"> </w:t>
      </w:r>
      <w:r>
        <w:rPr>
          <w:lang w:val="es-AR" w:eastAsia="es-AR" w:bidi="es-AR"/>
        </w:rPr>
        <w:t xml:space="preserve">en el punto 7) del fallo, y confirmando el resto del decisorio en todas sus partes. </w:t>
      </w:r>
    </w:p>
    <w:p>
      <w:pPr>
        <w:pStyle w:val="[Normal]"/>
        <w:spacing w:line="360" w:lineRule="auto"/>
        <w:ind w:firstLine="1134"/>
        <w:jc w:val="both"/>
        <w:rPr>
          <w:lang w:val="es-AR" w:eastAsia="es-AR" w:bidi="es-AR"/>
        </w:rPr>
      </w:pPr>
      <w:r>
        <w:rPr>
          <w:lang w:val="es-AR" w:eastAsia="es-AR" w:bidi="es-AR"/>
        </w:rPr>
        <w:t xml:space="preserve">Imponer las costas de Alzada al alimentante (arts. 68/9 CPCC).</w:t>
      </w:r>
    </w:p>
    <w:p>
      <w:pPr>
        <w:pStyle w:val="[Normal]"/>
        <w:spacing w:line="360" w:lineRule="auto"/>
        <w:ind w:firstLine="1134"/>
        <w:jc w:val="both"/>
        <w:rPr>
          <w:lang w:val="es-AR" w:eastAsia="es-AR" w:bidi="es-AR"/>
        </w:rPr>
      </w:pPr>
      <w:r>
        <w:rPr>
          <w:lang w:val="es-AR" w:eastAsia="es-AR" w:bidi="es-AR"/>
        </w:rPr>
        <w:t xml:space="preserve">Diferir la regulación de honorarios de los letrados intervinientes para cuando obre en autos base firme para ello (art. 31 de la Ley 14.967).</w:t>
      </w:r>
    </w:p>
    <w:p>
      <w:pPr>
        <w:pStyle w:val="[Normal]"/>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