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5909-25</w:t>
      </w:r>
      <w:r>
        <w:rPr>
          <w:b/>
          <w:lang w:val="es-AR" w:eastAsia="es-AR" w:bidi="es-AR"/>
        </w:rPr>
        <w:t xml:space="preserve"> </w:t>
      </w:r>
      <w:r>
        <w:rPr>
          <w:lang w:val="es-AR" w:eastAsia="es-AR" w:bidi="es-AR"/>
        </w:rPr>
        <w:t xml:space="preserve">caratulada </w:t>
      </w:r>
      <w:r>
        <w:rPr>
          <w:b/>
          <w:lang w:val="es-AR" w:eastAsia="es-AR" w:bidi="es-AR"/>
        </w:rPr>
        <w:t xml:space="preserve">"</w:t>
      </w:r>
      <w:r>
        <w:rPr>
          <w:b/>
          <w:color w:val="000000"/>
          <w:lang w:val="es-AR" w:eastAsia="es-AR" w:bidi="es-AR"/>
        </w:rPr>
        <w:t xml:space="preserve">ILLARRA HECTOR DANIEL C/ CASTILLO MARTA RUTH Y OTRO/A S/ DAÑOS Y PERJ.AUTOM. C/LES. O MUERTE (EXC.ESTADO)</w:t>
      </w:r>
      <w:r>
        <w:rPr>
          <w:b/>
          <w:lang w:val="es-AR" w:eastAsia="es-AR" w:bidi="es-AR"/>
        </w:rPr>
        <w:t xml:space="preserve">"</w:t>
      </w:r>
      <w:r>
        <w:rPr>
          <w:lang w:val="es-AR" w:eastAsia="es-AR" w:bidi="es-AR"/>
        </w:rPr>
        <w:t xml:space="preserve">, Expte. N° 68.493 del Juzgado en lo Civil y Comercial N° 3, se practicó el sorteo de ley que determinó que la votación debía efectuarse en el siguiente orden: Roberto Manuel Degleue y Graciela Scaraffía,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providencia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 	Llegan los autos a esta Alzada para resolver el recurso de apelación deducido subsidiariamente por la citada en garantía contra la providencia de fecha 23-9-2025 que tuvo por extemporánea la contestación de demanda presentada por dicha parte.</w:t>
      </w:r>
    </w:p>
    <w:p>
      <w:pPr>
        <w:pStyle w:val="[Normal]"/>
        <w:spacing w:line="360" w:lineRule="auto"/>
        <w:ind w:firstLine="1134"/>
        <w:jc w:val="both"/>
        <w:rPr>
          <w:lang w:val="es-AR" w:eastAsia="es-AR" w:bidi="es-AR"/>
        </w:rPr>
      </w:pPr>
      <w:r>
        <w:rPr>
          <w:lang w:val="es-AR" w:eastAsia="es-AR" w:bidi="es-AR"/>
        </w:rPr>
        <w:t xml:space="preserve">La recurrente sostiene en lo sustancial, que la presentación efectuada el 10-09-2025 resulta temporánea por cuanto el plazo para contestar la demanda sería común entre las personas demandadas y comenzaría a correr desde la última notificación, la que -según afirma- habría sido cursada a la asegurada con fecha 29-08-2025. Invoca asimismo lo dispuesto por el art. 118 de la Ley 17.418.</w:t>
      </w:r>
    </w:p>
    <w:p>
      <w:pPr>
        <w:pStyle w:val="[Normal]"/>
        <w:spacing w:line="360" w:lineRule="auto"/>
        <w:ind w:firstLine="1134"/>
        <w:jc w:val="both"/>
        <w:rPr>
          <w:lang w:val="es-AR" w:eastAsia="es-AR" w:bidi="es-AR"/>
        </w:rPr>
      </w:pPr>
      <w:r>
        <w:rPr>
          <w:lang w:val="es-AR" w:eastAsia="es-AR" w:bidi="es-AR"/>
        </w:rPr>
        <w:t xml:space="preserve">La contraria al contestar el traslado conferido rebate los argumentos expuestos por el apelante y peticiona el rechazo del recurso. </w:t>
      </w:r>
    </w:p>
    <w:p>
      <w:pPr>
        <w:pStyle w:val="[Normal]"/>
        <w:spacing w:line="360" w:lineRule="auto"/>
        <w:ind w:firstLine="1134"/>
        <w:jc w:val="both"/>
        <w:rPr>
          <w:lang w:val="es-AR" w:eastAsia="es-AR" w:bidi="es-AR"/>
        </w:rPr>
      </w:pPr>
      <w:r>
        <w:rPr>
          <w:lang w:val="es-AR" w:eastAsia="es-AR" w:bidi="es-AR"/>
        </w:rPr>
        <w:t xml:space="preserve">Analizadas las constancias de la causa, adelanto que el planteo no puede prosperar.</w:t>
      </w:r>
    </w:p>
    <w:p>
      <w:pPr>
        <w:pStyle w:val="[Normal]"/>
        <w:spacing w:line="360" w:lineRule="auto"/>
        <w:ind w:firstLine="1134"/>
        <w:jc w:val="both"/>
        <w:rPr>
          <w:lang w:val="es-AR" w:eastAsia="es-AR" w:bidi="es-AR"/>
        </w:rPr>
      </w:pPr>
      <w:r>
        <w:rPr>
          <w:lang w:val="es-AR" w:eastAsia="es-AR" w:bidi="es-AR"/>
        </w:rPr>
        <w:t xml:space="preserve">En efecto, el plazo para contestar la demanda se vincula con el traslado conferido a la persona demandada, cuya notificación habilita el ejercicio de dicha defensa dentro del término previsto por el art. 484 y ccs. del CPCC. Vencido ese plazo sin haberse ejercido la facultad procesal correspondiente, opera la preclusión propia del sistema procesal (art. 155 CPCC). La perentoriedad de los plazos procesales importa la preclusión automática de las diversas etapas del proceso, en atención a que se trata de reglas de orden público destinadas a asegurar el normal desenvolvimiento del procedimiento, resguardando tanto su celeridad como la necesaria seguridad jurídica de las personas que participan en él. </w:t>
      </w:r>
    </w:p>
    <w:p>
      <w:pPr>
        <w:pStyle w:val="[Normal]"/>
        <w:spacing w:line="360" w:lineRule="auto"/>
        <w:ind w:firstLine="1134"/>
        <w:jc w:val="both"/>
        <w:rPr>
          <w:lang w:val="es-AR" w:eastAsia="es-AR" w:bidi="es-AR"/>
        </w:rPr>
      </w:pPr>
      <w:r>
        <w:rPr>
          <w:lang w:val="es-AR" w:eastAsia="es-AR" w:bidi="es-AR"/>
        </w:rPr>
        <w:t xml:space="preserve">La circunstancia de haberse citado en garantía a la aseguradora no altera esa conclusión. Ello así, por cuanto la citación en garantía constituye una forma de intervención de un tercero en el proceso, que se incorpora al mismo en virtud de un acto procesal autónomo y no en calidad de demandada originaria, por lo que su intervención no determina que el plazo para contestar la demanda deba considerarse común con el de la demandada.</w:t>
      </w:r>
    </w:p>
    <w:p>
      <w:pPr>
        <w:pStyle w:val="[Normal]"/>
        <w:spacing w:line="360" w:lineRule="auto"/>
        <w:ind w:firstLine="1134"/>
        <w:jc w:val="both"/>
        <w:rPr>
          <w:lang w:val="es-AR" w:eastAsia="es-AR" w:bidi="es-AR"/>
        </w:rPr>
      </w:pPr>
      <w:r>
        <w:rPr>
          <w:lang w:val="es-AR" w:eastAsia="es-AR" w:bidi="es-AR"/>
        </w:rPr>
        <w:t xml:space="preserve">Esta conclusión se ve además corroborada por los propios términos de la providencia de fecha 8-8-2025 mediante la cual se dispuso el traslado de la demanda. En dicho proveído el Juzgador confirió traslado “a los demandados por el término de diez días” para contestar la demanda conforme a los arts. 354 y 486 del CPCC, citándolos y emplazándolos a comparecer bajo apercibimiento de rebeldía. En un apartado diferenciado de la misma providencia y con fundamento en el art. 118 de la ley 17.418, se dispuso asimismo citar en garantía a Sancor Cooperativa de Seguros Ltda. para que en el plazo de diez días comparezca a estos autos bajo apercibimiento de rebeldía.</w:t>
      </w:r>
    </w:p>
    <w:p>
      <w:pPr>
        <w:pStyle w:val="[Normal]"/>
        <w:spacing w:line="360" w:lineRule="auto"/>
        <w:ind w:firstLine="1134"/>
        <w:jc w:val="both"/>
        <w:rPr>
          <w:lang w:val="es-AR" w:eastAsia="es-AR" w:bidi="es-AR"/>
        </w:rPr>
      </w:pPr>
      <w:r>
        <w:rPr>
          <w:lang w:val="es-AR" w:eastAsia="es-AR" w:bidi="es-AR"/>
        </w:rPr>
        <w:t xml:space="preserve">De tal modo, el propio acto procesal que ordenó las notificaciones evidencia que se trató de emplazamientos diferenciados, dirigidos a sujetos procesales distintos y fundados en normas también diversas, lo que descarta que en el caso el plazo conferido para contestar la demanda deba reputarse común entre la parte demandada y la citada en garantía.</w:t>
      </w:r>
    </w:p>
    <w:p>
      <w:pPr>
        <w:pStyle w:val="[Normal]"/>
        <w:spacing w:line="360" w:lineRule="auto"/>
        <w:ind w:firstLine="1134"/>
        <w:jc w:val="both"/>
        <w:rPr>
          <w:lang w:val="es-AR" w:eastAsia="es-AR" w:bidi="es-AR"/>
        </w:rPr>
      </w:pPr>
      <w:r>
        <w:rPr>
          <w:lang w:val="es-AR" w:eastAsia="es-AR" w:bidi="es-AR"/>
        </w:rPr>
        <w:t xml:space="preserve">En tal contexto, la notificación cursada a la citada en garantía no determina el inicio ni la extensión del plazo para contestar la demanda de la parte demandada, ni transforma dicho plazo en común, puesto que esa regla resulta aplicable únicamente respecto de quienes integran el mismo traslado de demanda (arg. art. 338, 353 y ccs. CPCC). </w:t>
      </w:r>
    </w:p>
    <w:p>
      <w:pPr>
        <w:pStyle w:val="[Normal]"/>
        <w:spacing w:line="360" w:lineRule="auto"/>
        <w:ind w:firstLine="851"/>
        <w:jc w:val="both"/>
        <w:rPr>
          <w:lang w:val="es-AR" w:eastAsia="es-AR" w:bidi="es-AR"/>
        </w:rPr>
      </w:pPr>
      <w:r>
        <w:rPr>
          <w:lang w:val="es-AR" w:eastAsia="es-AR" w:bidi="es-AR"/>
        </w:rPr>
        <w:t xml:space="preserve">Consecuentemente, el plazo para contestar la demanda de la citada en garantía se computa desde su propia notificación, practicada el día 22-8-2025 en el domicilio electrónico registrado en el Registro de Domicilios Electrónicos del Poder Judicial de la Provincia de Buenos Aires. De ello se sigue que el plazo para contestar la demanda venció en las cuatro primeras horas hábiles de despacho del día 8 de septiembre de 2025. Habida cuenta de ello, y siendo que la presentación fue realizada con fecha 10-9-2025, la misma resulta extemporánea, tal como concluyó el juez de grado.</w:t>
      </w:r>
    </w:p>
    <w:p>
      <w:pPr>
        <w:pStyle w:val="[Normal]"/>
        <w:spacing w:line="360" w:lineRule="auto"/>
        <w:ind w:firstLine="1134"/>
        <w:jc w:val="both"/>
        <w:rPr>
          <w:lang w:val="es-AR" w:eastAsia="es-AR" w:bidi="es-AR"/>
        </w:rPr>
      </w:pPr>
      <w:r>
        <w:rPr>
          <w:lang w:val="es-AR" w:eastAsia="es-AR" w:bidi="es-AR"/>
        </w:rPr>
        <w:t xml:space="preserve">Por lo demás, la previsión contenida en el art. 118 de la ley 17.418 que autoriza a la aseguradora a presentarse en el proceso hasta antes de la apertura a prueba, tiene por finalidad garantizar su derecho de defensa pero no importa la rehabilitación ni ampliación de los plazos procesales ya precluidos.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subsidiariamente deducido y en consecuencia confirmar la providencia apelada.</w:t>
      </w:r>
    </w:p>
    <w:p>
      <w:pPr>
        <w:pStyle w:val="[Normal]"/>
        <w:spacing w:line="360" w:lineRule="auto"/>
        <w:ind w:firstLine="1134"/>
        <w:jc w:val="both"/>
        <w:rPr>
          <w:lang w:val="es-AR" w:eastAsia="es-AR" w:bidi="es-AR"/>
        </w:rPr>
      </w:pPr>
      <w:r>
        <w:rPr>
          <w:lang w:val="es-AR" w:eastAsia="es-AR" w:bidi="es-AR"/>
        </w:rPr>
        <w:t xml:space="preserve">Imponer las costas al apelante vencido (art. 68/9 CPCC).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subsidiariamente deducido y en consecuencia confirmar la providencia apelada.</w:t>
      </w:r>
    </w:p>
    <w:p>
      <w:pPr>
        <w:pStyle w:val="[Normal]"/>
        <w:spacing w:line="360" w:lineRule="auto"/>
        <w:ind w:firstLine="1134"/>
        <w:jc w:val="both"/>
        <w:rPr>
          <w:lang w:val="es-AR" w:eastAsia="es-AR" w:bidi="es-AR"/>
        </w:rPr>
      </w:pPr>
      <w:r>
        <w:rPr>
          <w:lang w:val="es-AR" w:eastAsia="es-AR" w:bidi="es-AR"/>
        </w:rPr>
        <w:t xml:space="preserve">Imponer las costas al apelante vencido (art. 68/9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17/03/2026 10:11:29 -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17/03/2026 10:31:29 -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17/03/2026 10:42:45 -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‰9&lt;")è&amp;r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252802090006822889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17/03/2026 10:43:36 hs. bajo el número RS-29-2026 por PE\NMARTINEZ NICOLAS.</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