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5925-25</w:t>
      </w:r>
      <w:r>
        <w:rPr>
          <w:lang w:val="es-AR" w:eastAsia="es-AR" w:bidi="es-AR"/>
        </w:rPr>
        <w:t xml:space="preserve"> caratulada </w:t>
      </w:r>
      <w:r>
        <w:rPr>
          <w:b/>
          <w:lang w:val="es-AR" w:eastAsia="es-AR" w:bidi="es-AR"/>
        </w:rPr>
        <w:t xml:space="preserve">"</w:t>
      </w:r>
      <w:r>
        <w:rPr>
          <w:b/>
          <w:color w:val="000000"/>
          <w:lang w:val="es-AR" w:eastAsia="es-AR" w:bidi="es-AR"/>
        </w:rPr>
        <w:t xml:space="preserve">AZNAL ANTONELLA AYELEN Y OTRO/A C/ CAPUTO MAURICIO Y OTRO/A S/ DAÑOS Y PERJ.AUTOM. C/LES. O MUERTE (EXC.ESTADO)</w:t>
      </w:r>
      <w:r>
        <w:rPr>
          <w:b/>
          <w:lang w:val="es-AR" w:eastAsia="es-AR" w:bidi="es-AR"/>
        </w:rPr>
        <w:t xml:space="preserve">"</w:t>
      </w:r>
      <w:r>
        <w:rPr>
          <w:lang w:val="es-AR" w:eastAsia="es-AR" w:bidi="es-AR"/>
        </w:rPr>
        <w:t xml:space="preserve">, Expte. N° 7901</w:t>
      </w:r>
      <w:r>
        <w:rPr>
          <w:color w:val="000000"/>
          <w:lang w:val="es-AR" w:eastAsia="es-AR" w:bidi="es-AR"/>
        </w:rPr>
        <w:t xml:space="preserve"> </w:t>
      </w:r>
      <w:r>
        <w:rPr>
          <w:lang w:val="es-AR" w:eastAsia="es-AR" w:bidi="es-AR"/>
        </w:rPr>
        <w:t xml:space="preserve">del Juzgado Civil y Comercial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primera instancia no hizo lugar al pedido de citación del Sr. Eduardo Amadeo Mendi como codemandado en autos, efectuado por la parte actora. Sin costas por constituir un caso de los que la S.C.B.A. ha denominado "mera incidencia" (JUBA Sum. B22.850), ni se regularon honorarios .	</w:t>
      </w:r>
    </w:p>
    <w:p>
      <w:pPr>
        <w:pStyle w:val="[Normal]"/>
        <w:spacing w:line="360" w:lineRule="auto"/>
        <w:ind w:firstLine="1134"/>
        <w:jc w:val="both"/>
        <w:rPr>
          <w:lang w:val="es-AR" w:eastAsia="es-AR" w:bidi="es-AR"/>
        </w:rPr>
      </w:pPr>
      <w:r>
        <w:rPr>
          <w:lang w:val="es-AR" w:eastAsia="es-AR" w:bidi="es-AR"/>
        </w:rPr>
        <w:t xml:space="preserve">Disconforme con lo resuelto apeló la parte actora el 23/10/2025, fundando el 3/11/2025, recurso concedido en relación el 28/10/2025, confiriéndose traslado el 6/11/2025, es contestado el 14/11/2025 por la citada en garantía, y no habiendo la parte demandada Sr. Mauricio Caputo contestado la vista conferida, se le dio por perdido el derecho dejado de usar. </w:t>
      </w:r>
    </w:p>
    <w:p>
      <w:pPr>
        <w:pStyle w:val="[Normal]"/>
        <w:spacing w:line="360" w:lineRule="auto"/>
        <w:ind w:firstLine="1134"/>
        <w:jc w:val="both"/>
        <w:rPr>
          <w:lang w:val="es-AR" w:eastAsia="es-AR" w:bidi="es-AR"/>
        </w:rPr>
      </w:pPr>
      <w:r>
        <w:rPr>
          <w:lang w:val="es-AR" w:eastAsia="es-AR" w:bidi="es-AR"/>
        </w:rPr>
        <w:t xml:space="preserve">Se agravia la recurrente ante lo resuelto por el a quo en sentencia por cuanto impide la correcta conformación del litisconsorcio pasivo necesario y restringe injustificadamente el ejercicio del derecho de acción y el acceso pleno a la justicia, aduciendo que al inicio de la demanda ante la urgencia y confusión por el accidente sufrido, actuó priorizando la atención médica y la contención de su hijo menor de edad, siendo los datos del vehículo y de su conductor  provistos por este, sin que se les informara en ese momento quién era el titular registral del automotor ni el contratante del seguro y fue la citada en garantía al contestar la demanda quien aportó quien era el titular de la póliza y del vehículo, hecho que motivó el pedido a fin de la integración correcta de la litis de incorporación como codemandado al Sr. Eduardo Mendi como responsable civil  conforme art. 1757 del CCCN., y que se lo exima de responsabilidad siendo que la acción fue dirigida contra el conductor del FIAT PALIO dominio NYI-409 y la aseguradora, coloca a su parte en estado de indefensión.</w:t>
      </w:r>
    </w:p>
    <w:p>
      <w:pPr>
        <w:pStyle w:val="[Normal]"/>
        <w:spacing w:line="360" w:lineRule="auto"/>
        <w:ind w:firstLine="1134"/>
        <w:jc w:val="both"/>
        <w:rPr>
          <w:lang w:val="es-AR" w:eastAsia="es-AR" w:bidi="es-AR"/>
        </w:rPr>
      </w:pPr>
      <w:r>
        <w:rPr>
          <w:lang w:val="es-AR" w:eastAsia="es-AR" w:bidi="es-AR"/>
        </w:rPr>
        <w:t xml:space="preserve">Asegura que dicha negativa a la citación del titular de quien contrató el seguro, titular del rodado siniestrado viola el principio de reparación integral y la finalidad social del seguro obligatorio de responsabilidad civil, agraviando irreparablemente a su parte  cercenando así su derecho de indemnización.</w:t>
      </w:r>
    </w:p>
    <w:p>
      <w:pPr>
        <w:pStyle w:val="[Normal]"/>
        <w:spacing w:line="360" w:lineRule="auto"/>
        <w:ind w:firstLine="1134"/>
        <w:jc w:val="both"/>
        <w:rPr>
          <w:lang w:val="es-AR" w:eastAsia="es-AR" w:bidi="es-AR"/>
        </w:rPr>
      </w:pPr>
      <w:r>
        <w:rPr>
          <w:lang w:val="es-AR" w:eastAsia="es-AR" w:bidi="es-AR"/>
        </w:rPr>
        <w:t xml:space="preserve"> Solicita se revoque la resolución recurrida y se haga lugar a la citación del Sr. Eduardo Armando Mendi como codemandado en autos, en resguardo del derecho de defensa, el principio de integración del contradictorio y la tutela judicial efectiva.</w:t>
      </w:r>
    </w:p>
    <w:p>
      <w:pPr>
        <w:pStyle w:val="[Normal]"/>
        <w:spacing w:line="360" w:lineRule="auto"/>
        <w:ind w:firstLine="1134"/>
        <w:jc w:val="both"/>
        <w:rPr>
          <w:lang w:val="es-AR" w:eastAsia="es-AR" w:bidi="es-AR"/>
        </w:rPr>
      </w:pPr>
      <w:r>
        <w:rPr>
          <w:lang w:val="es-AR" w:eastAsia="es-AR" w:bidi="es-AR"/>
        </w:rPr>
        <w:t xml:space="preserve">A su turno el apoderado de la citada en garantía rebate los puntos de agravio, destacando la notoria insuficiencia técnica del escrito de agravios de la actora no bastando con la mera disconformidad con lo decidido por lo que peticiona la deserción del recurso y la confirmación del decisorio, con costas.</w:t>
      </w:r>
    </w:p>
    <w:p>
      <w:pPr>
        <w:pStyle w:val="[Normal]"/>
        <w:spacing w:line="360" w:lineRule="auto"/>
        <w:ind w:firstLine="1134"/>
        <w:jc w:val="both"/>
        <w:rPr>
          <w:lang w:val="es-AR" w:eastAsia="es-AR" w:bidi="es-AR"/>
        </w:rPr>
      </w:pPr>
      <w:r>
        <w:rPr>
          <w:lang w:val="es-AR" w:eastAsia="es-AR" w:bidi="es-AR"/>
        </w:rPr>
        <w:t xml:space="preserve">Ingresados los autos a este organismo el 20/11/2025, se dicta el llamamiento de autos, providencia que firme a la fecha deja la causa en condiciones de ser resuelta.</w:t>
      </w:r>
    </w:p>
    <w:p>
      <w:pPr>
        <w:pStyle w:val="[Normal]"/>
        <w:spacing w:line="360" w:lineRule="auto"/>
        <w:ind w:firstLine="1134"/>
        <w:jc w:val="both"/>
        <w:rPr>
          <w:lang w:val="es-AR" w:eastAsia="es-AR" w:bidi="es-AR"/>
        </w:rPr>
      </w:pPr>
      <w:r>
        <w:rPr>
          <w:lang w:val="es-AR" w:eastAsia="es-AR" w:bidi="es-AR"/>
        </w:rPr>
        <w:t xml:space="preserve">Para abordar el tratamiento del recurso traído, corresponde partir de lo normado por el art. 331 del C.P.C.C., conforme el cual el límite temporal para transformar la demanda, es su notificación.</w:t>
      </w:r>
    </w:p>
    <w:p>
      <w:pPr>
        <w:pStyle w:val="[Normal]"/>
        <w:spacing w:line="360" w:lineRule="auto"/>
        <w:ind w:firstLine="1134"/>
        <w:jc w:val="both"/>
        <w:rPr>
          <w:lang w:val="es-AR" w:eastAsia="es-AR" w:bidi="es-AR"/>
        </w:rPr>
      </w:pPr>
      <w:r>
        <w:rPr>
          <w:lang w:val="es-AR" w:eastAsia="es-AR" w:bidi="es-AR"/>
        </w:rPr>
        <w:t xml:space="preserve">Así entonces se advierte que la cuestión aquí discutida, se centra en la pretensión de introducir al proceso al titular del dominio del vehículo automotor que la actora sindica como tal, en esta instancia, esto es luego de notificada la demanda y contestada la misma.</w:t>
      </w:r>
    </w:p>
    <w:p>
      <w:pPr>
        <w:pStyle w:val="[Normal]"/>
        <w:spacing w:line="360" w:lineRule="auto"/>
        <w:ind w:firstLine="1134"/>
        <w:jc w:val="both"/>
        <w:rPr>
          <w:lang w:val="es-AR" w:eastAsia="es-AR" w:bidi="es-AR"/>
        </w:rPr>
      </w:pPr>
      <w:r>
        <w:rPr>
          <w:lang w:val="es-AR" w:eastAsia="es-AR" w:bidi="es-AR"/>
        </w:rPr>
        <w:t xml:space="preserve">Ante tal panorama  es importante recordar que  la actora dirigió su acción contra el Sr. CAPUTO MAURICIO, por ser " </w:t>
      </w:r>
      <w:r>
        <w:rPr>
          <w:i/>
          <w:lang w:val="es-AR" w:eastAsia="es-AR" w:bidi="es-AR"/>
        </w:rPr>
        <w:t xml:space="preserve">protagonista principal y responsable exclusivo y excluyente del siniestro que provoca esta demanda</w:t>
      </w:r>
      <w:r>
        <w:rPr>
          <w:lang w:val="es-AR" w:eastAsia="es-AR" w:bidi="es-AR"/>
        </w:rPr>
        <w:t xml:space="preserve">" y  COOPERACION SEGUROS " </w:t>
      </w:r>
      <w:r>
        <w:rPr>
          <w:i/>
          <w:lang w:val="es-AR" w:eastAsia="es-AR" w:bidi="es-AR"/>
        </w:rPr>
        <w:t xml:space="preserve">en su carácter de aseguradora del automóvil dominio FIAT PALIO dominio NYI409   al momento del siniestro  que provoca esta demanda</w:t>
      </w:r>
      <w:r>
        <w:rPr>
          <w:lang w:val="es-AR" w:eastAsia="es-AR" w:bidi="es-AR"/>
        </w:rPr>
        <w:t xml:space="preserve">", todo ello según surge del escrito de demanda presentado electrónicamente el 26/2/2024.</w:t>
      </w:r>
    </w:p>
    <w:p>
      <w:pPr>
        <w:pStyle w:val="[Normal]"/>
        <w:spacing w:line="360" w:lineRule="auto"/>
        <w:ind w:firstLine="1134"/>
        <w:jc w:val="both"/>
        <w:rPr>
          <w:lang w:val="es-AR" w:eastAsia="es-AR" w:bidi="es-AR"/>
        </w:rPr>
      </w:pPr>
      <w:r>
        <w:rPr>
          <w:lang w:val="es-AR" w:eastAsia="es-AR" w:bidi="es-AR"/>
        </w:rPr>
        <w:t xml:space="preserve">Es decir que ninguna mención se hizo ni mucho menos reserva de ampliar la demanda contra quien resultare a la postre titular registral del vehículo automotor con el cual y según los dichos de la misma, habría participado en el hecho motivo de autos.</w:t>
      </w:r>
    </w:p>
    <w:p>
      <w:pPr>
        <w:pStyle w:val="[Normal]"/>
        <w:spacing w:line="360" w:lineRule="auto"/>
        <w:ind w:firstLine="1134"/>
        <w:jc w:val="both"/>
        <w:rPr>
          <w:lang w:val="es-AR" w:eastAsia="es-AR" w:bidi="es-AR"/>
        </w:rPr>
      </w:pPr>
      <w:r>
        <w:rPr>
          <w:lang w:val="es-AR" w:eastAsia="es-AR" w:bidi="es-AR"/>
        </w:rPr>
        <w:t xml:space="preserve">Es por ello que, lo que pretende la actora no resulta posible a esta altura del proceso, sin afectar la preclusión y el derecho de defensa de la contraparte, tal y como lo resolviera el a quo.</w:t>
      </w:r>
    </w:p>
    <w:p>
      <w:pPr>
        <w:pStyle w:val="[Normal]"/>
        <w:spacing w:line="360" w:lineRule="auto"/>
        <w:ind w:firstLine="1134"/>
        <w:jc w:val="both"/>
        <w:rPr>
          <w:lang w:val="es-AR" w:eastAsia="es-AR" w:bidi="es-AR"/>
        </w:rPr>
      </w:pPr>
      <w:r>
        <w:rPr>
          <w:lang w:val="es-AR" w:eastAsia="es-AR" w:bidi="es-AR"/>
        </w:rPr>
        <w:t xml:space="preserve">Ello en tanto no resulta procedente, luego de trabada la litis, el pedido de ampliación de la demanda con el objeto de citar al proceso a una persona que no fue expresamente identificada al instaurar la acción, en tanto la actora podía conocer la posibilidad de citarlo como sujeto pasivo de la pretensión, por lo que debió hacerlo antes de presentar la demanda o antes de notificar la misma, lo cual no ha sucedido.</w:t>
      </w:r>
    </w:p>
    <w:p>
      <w:pPr>
        <w:pStyle w:val="[Normal]"/>
        <w:spacing w:line="360" w:lineRule="auto"/>
        <w:ind w:firstLine="1134"/>
        <w:jc w:val="both"/>
        <w:rPr>
          <w:lang w:val="es-AR" w:eastAsia="es-AR" w:bidi="es-AR"/>
        </w:rPr>
      </w:pPr>
      <w:r>
        <w:rPr>
          <w:lang w:val="es-AR" w:eastAsia="es-AR" w:bidi="es-AR"/>
        </w:rPr>
        <w:t xml:space="preserve">Evidentemente la parte actora ha demandado en el entendimiento de que el Sr. Caputo fuera el titular registral del automotor, y es por ello que ninguna salvedad o reserva hizo al respecto, como hubiera correspondido para el caso que se quisiera luego ampliar la demanda como ahora pretende.</w:t>
      </w:r>
    </w:p>
    <w:p>
      <w:pPr>
        <w:pStyle w:val="[Normal]"/>
        <w:spacing w:line="360" w:lineRule="auto"/>
        <w:ind w:firstLine="1134"/>
        <w:jc w:val="both"/>
        <w:rPr>
          <w:lang w:val="es-AR" w:eastAsia="es-AR" w:bidi="es-AR"/>
        </w:rPr>
      </w:pPr>
      <w:r>
        <w:rPr>
          <w:lang w:val="es-AR" w:eastAsia="es-AR" w:bidi="es-AR"/>
        </w:rPr>
        <w:t xml:space="preserve">La recurrente arguye que la negativa de integración del proceso le niega "... la reparación integral y y la finalidad social del seguro" pero sobre el motivo por el cual se le denegara la petición en primera instancia, esto es "... estando ya trabada la litis y no habiendo hecho la actora la oportuna reserva de ampliar la demanda contra otros eventuales responsables, para no retrotraer el procedimiento a etapas ya fenecidas y alterar el debido proceso legal adjetivo, entiendo que no corresponde hacer lugar a la citación pretendida por la parte actora (conf. arts. 331 y cc. del CPCC, y su doctrina)", nada alega para derribar tal concluyente y fundada argumentación, por lo que no cabe mas que confirmar la resolución primera, con costas.</w:t>
      </w:r>
    </w:p>
    <w:p>
      <w:pPr>
        <w:pStyle w:val="[Normal]"/>
        <w:spacing w:line="360" w:lineRule="auto"/>
        <w:ind w:firstLine="1134"/>
        <w:jc w:val="both"/>
        <w:rPr>
          <w:lang w:val="es-AR" w:eastAsia="es-AR" w:bidi="es-AR"/>
        </w:rPr>
      </w:pPr>
      <w:r>
        <w:rPr>
          <w:lang w:val="es-AR" w:eastAsia="es-AR" w:bidi="es-AR"/>
        </w:rPr>
        <w:t xml:space="preserve">A mayor abundamiento, cabe señalar que la recurrente no logra rebatir eficazmente uno de los fundamentos centrales del decisorio apelado, esto es, que contaba con medios razonables para conocer la identidad del titular registral del vehículo al momento de promover la demanda. </w:t>
      </w:r>
    </w:p>
    <w:p>
      <w:pPr>
        <w:pStyle w:val="[Normal]"/>
        <w:spacing w:line="360" w:lineRule="auto"/>
        <w:ind w:firstLine="1134"/>
        <w:jc w:val="both"/>
        <w:rPr>
          <w:b/>
          <w:lang w:val="es-AR" w:eastAsia="es-AR" w:bidi="es-AR"/>
        </w:rPr>
      </w:pPr>
      <w:r>
        <w:rPr>
          <w:lang w:val="es-AR" w:eastAsia="es-AR" w:bidi="es-AR"/>
        </w:rPr>
        <w:t xml:space="preserve">De las constancias de autos surge que el hecho dañoso ocurrió el 15/8/2023 y la acción fue interpuesta recién el 26/2/2024, lapso temporal más que suficiente para realizar las averiguaciones pertinentes ante el Registro de la Propiedad Automotor. Sin embargo, el escrito de agravios omite toda crítica concreta a esta consideración, limitándose a invocar genéricamente una situación inicial de urgencia y confusión, circunstancia que -aún de ser atendible en los días inmediatamente posteriores al siniestro- no justifica la inactividad investigativa durante más de seis meses.</w:t>
      </w:r>
    </w:p>
    <w:p>
      <w:pPr>
        <w:pStyle w:val="[Normal]"/>
        <w:spacing w:line="360" w:lineRule="auto"/>
        <w:ind w:firstLine="1134"/>
        <w:jc w:val="both"/>
        <w:rPr>
          <w:lang w:val="es-AR" w:eastAsia="es-AR" w:bidi="es-AR"/>
        </w:rPr>
      </w:pPr>
      <w:r>
        <w:rPr>
          <w:lang w:val="es-AR" w:eastAsia="es-AR" w:bidi="es-AR"/>
        </w:rPr>
        <w:t xml:space="preserve">En este sentido, no se ha alegado ni probado la existencia de obstáculo alguno que hubiera impedido acceder a la información registral, la cual reviste carácter público y puede obtenerse mediante diligencias simples y ordinarias. </w:t>
      </w:r>
    </w:p>
    <w:p>
      <w:pPr>
        <w:pStyle w:val="[Normal]"/>
        <w:spacing w:line="360" w:lineRule="auto"/>
        <w:ind w:firstLine="1134"/>
        <w:jc w:val="both"/>
        <w:rPr>
          <w:lang w:val="es-AR" w:eastAsia="es-AR" w:bidi="es-AR"/>
        </w:rPr>
      </w:pPr>
      <w:r>
        <w:rPr>
          <w:lang w:val="es-AR" w:eastAsia="es-AR" w:bidi="es-AR"/>
        </w:rPr>
        <w:t xml:space="preserve">En tal contexto, la omisión de dirigir la demanda contra quien eventualmente pudiera revestir la calidad de titular dominial no puede ser atribuida a un hecho nuevo sobreviniente ni a una imposibilidad objetiva, sino a una deficiente delimitación inicial del sujeto pasivo. Al no controvertir de modo puntual esta premisa -esto es, la posibilidad concreta de conocer al legitimado pasivo antes de la traba de la litis- el recurso queda carente de crítica idónea en los términos del art. 260 del C.P.C.C., lo que refuerza la solución confirmatoria adoptada.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y en su mérito confirmar la sentencia de primera instancia en todas sus partes, con costas a la recurrente vencida (Art. 68 y ccs. del C.P.C. y 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y ccs.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interpuesto y en su mérito confirmar la sentencia de primera instancia en todas sus partes, con costas a la recurrente vencida (Art. 68 y ccs. del C.P.C. y 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y ccs.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10:14:45 -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10:38:45 -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12:13:30 -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‰8[")è&amp;q&amp;o#Š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245902090006810679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10/03/2026 12:13:49 hs. bajo el número RS-22-2026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