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5896-25</w:t>
      </w:r>
      <w:r>
        <w:rPr>
          <w:lang w:val="es-AR" w:eastAsia="es-AR" w:bidi="es-AR"/>
        </w:rPr>
        <w:t xml:space="preserve"> caratulada </w:t>
      </w:r>
      <w:r>
        <w:rPr>
          <w:b/>
          <w:lang w:val="es-AR" w:eastAsia="es-AR" w:bidi="es-AR"/>
        </w:rPr>
        <w:t xml:space="preserve">"</w:t>
      </w:r>
      <w:r>
        <w:rPr>
          <w:b/>
          <w:color w:val="000000"/>
          <w:lang w:val="es-AR" w:eastAsia="es-AR" w:bidi="es-AR"/>
        </w:rPr>
        <w:t xml:space="preserve">AGÜERO RODRIGO GREGORIO C/ AGUAS Y SODAS DEL ACUIFERO PUELCHE S.A.  Y OTROS S/ DAÑOS Y PERJ. AUTOM. S/LESIONES (EXC. ESTADO)</w:t>
      </w:r>
      <w:r>
        <w:rPr>
          <w:b/>
          <w:lang w:val="es-AR" w:eastAsia="es-AR" w:bidi="es-AR"/>
        </w:rPr>
        <w:t xml:space="preserve">"</w:t>
      </w:r>
      <w:r>
        <w:rPr>
          <w:lang w:val="es-AR" w:eastAsia="es-AR" w:bidi="es-AR"/>
        </w:rPr>
        <w:t xml:space="preserve">, Expte. N°79563</w:t>
      </w:r>
      <w:r>
        <w:rPr>
          <w:color w:val="000000"/>
          <w:lang w:val="es-AR" w:eastAsia="es-AR" w:bidi="es-AR"/>
        </w:rPr>
        <w:t xml:space="preserve"> </w:t>
      </w:r>
      <w:r>
        <w:rPr>
          <w:lang w:val="es-AR" w:eastAsia="es-AR" w:bidi="es-AR"/>
        </w:rPr>
        <w:t xml:space="preserve">del Juzgado Civil y Comercial N° 1</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declaró la inconstitucionalidad sobrevenida de los arts. 7 y 10 de la ley 23.928, según ley 25.561, del mismo modo que su inaplicabilidad al caso, a fin de disponer una equitativa actualización del crédito adeudado. Hizo lugar a la demanda incoada condenando a la parte demandada y la citada en garantía, Aguas y Sodas del Acuífero Puelche S.A., Lo Maximo en Suspensión S.R.L. y Seguros Bernardino Rivadavia Cooperativa Limitada, a abonar la parte actora, Sr. Rodrigo Gregorio Agüero, dentro de los diez (10) días de notificada la presente, la suma de TRES MILLONES CIENTO CINCUENTA MIL SETECIENTOS Pesos ($3.150.700), actualizable según lo dispuesto en el considerando VIII, con más intereses, a partir de la fecha del hecho (04/04/2024) y hasta el momento de su efectivo pago. Aplicó las costas a la parte demandada y a la citada en garantía vencidas. Difirió la regulación de honorarios de los letrados intervinientes y del perito.</w:t>
      </w:r>
    </w:p>
    <w:p>
      <w:pPr>
        <w:pStyle w:val="[Normal]"/>
        <w:spacing w:line="360" w:lineRule="auto"/>
        <w:ind w:firstLine="1134"/>
        <w:jc w:val="both"/>
        <w:rPr>
          <w:lang w:val="es-AR" w:eastAsia="es-AR" w:bidi="es-AR"/>
        </w:rPr>
      </w:pPr>
      <w:r>
        <w:rPr>
          <w:lang w:val="es-AR" w:eastAsia="es-AR" w:bidi="es-AR"/>
        </w:rPr>
        <w:t xml:space="preserve">En disconformidad con lo dispuesto apelan la parte actora y la citada en garantía el 18-8-2025 y 12-8-2025, concedidos libremente el 21-8- 2025 y 18-8-2025 respectivamente.</w:t>
      </w:r>
    </w:p>
    <w:p>
      <w:pPr>
        <w:pStyle w:val="[Normal]"/>
        <w:spacing w:line="360" w:lineRule="auto"/>
        <w:ind w:firstLine="1134"/>
        <w:jc w:val="both"/>
        <w:rPr>
          <w:lang w:val="es-AR" w:eastAsia="es-AR" w:bidi="es-AR"/>
        </w:rPr>
      </w:pPr>
      <w:r>
        <w:rPr>
          <w:lang w:val="es-AR" w:eastAsia="es-AR" w:bidi="es-AR"/>
        </w:rPr>
        <w:t xml:space="preserve">Ingresados los autos a este organismo el 3-11-2025, se ordena exprese agravios la parte actora el 6-11-2025 haciéndolo el 14-11-2025, para luego expresar sus agravios la citada en garantía el 25-11-2025, ordenándose traslados recíprocos el 2-12-2025 siendo contestados en fecha 5 y 16 -12-2025, dictándose el llamamiento de autos para sentencia el 23-12-2025,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parte actora, en resumidas cuentas y a los fines de respetar la economía, cuestiona la valoración efectuada por el a quo respecto de  los importes necesarios para atender a la reparación del menoscabo personal que la conducta asumida por SEGUROS BERNARDINO RIVADAVIA COOP. LTDA. causara a su parte, en tanto considera lo reconocido por daño moral como insuficiente para resarcir el detrimento espiritual padecido por el actor.</w:t>
      </w:r>
    </w:p>
    <w:p>
      <w:pPr>
        <w:pStyle w:val="[Normal]"/>
        <w:spacing w:line="360" w:lineRule="auto"/>
        <w:ind w:firstLine="1134"/>
        <w:jc w:val="both"/>
        <w:rPr>
          <w:lang w:val="es-AR" w:eastAsia="es-AR" w:bidi="es-AR"/>
        </w:rPr>
      </w:pPr>
      <w:r>
        <w:rPr>
          <w:lang w:val="es-AR" w:eastAsia="es-AR" w:bidi="es-AR"/>
        </w:rPr>
        <w:t xml:space="preserve">A continuación, expone sus fundamentos para sostener tal postura impugnatoria, destacando especialmente que  el principal menoscabo en este juicio no son los importes necesarios para atender a la reparación del rodado (daño material), sino que la principal ofensa radica en el menosprecio con el que la empresa aseguradora manejó el reclamo (actitud que, lamentablemente, es harto frecuente en materia de seguros), solicitando en definitiva se incrementen los montos de condena por concepto de daño moral, con costas a cargo de la contraparte.</w:t>
      </w:r>
    </w:p>
    <w:p>
      <w:pPr>
        <w:pStyle w:val="[Normal]"/>
        <w:spacing w:line="360" w:lineRule="auto"/>
        <w:ind w:firstLine="1134"/>
        <w:jc w:val="both"/>
        <w:rPr>
          <w:lang w:val="es-AR" w:eastAsia="es-AR" w:bidi="es-AR"/>
        </w:rPr>
      </w:pPr>
      <w:r>
        <w:rPr>
          <w:lang w:val="es-AR" w:eastAsia="es-AR" w:bidi="es-AR"/>
        </w:rPr>
        <w:t xml:space="preserve">A su turno presenta su memorial el apoderado de  la parte demandada y la citada en garantia,  cuestionando la sentencia  apelada en varios aspectos de la misma, centrados estos en el equivocado análisis que realiza el “a quo” a la hora de: 1.-) valorar la rebeldía de Aguas y Sodas del Acuífero Puelche S.A. y Lo Máximo en Suspensión SRL y tener por acreditado el hecho invocado en demanda; 2.-) tener por acreditada la responsabilidad del camión marca IVECO modelo Daily 59.12 dominio DLC359; 3.-) arbitrariamente otorgar procedencia al rubro daño material y cuantificarlo 4.-) arbitrariamente otorgar procedencia al rubro daño moral y cuantificarlo.-</w:t>
      </w:r>
    </w:p>
    <w:p>
      <w:pPr>
        <w:pStyle w:val="[Normal]"/>
        <w:spacing w:line="360" w:lineRule="auto"/>
        <w:ind w:firstLine="1134"/>
        <w:jc w:val="both"/>
        <w:rPr>
          <w:lang w:val="es-AR" w:eastAsia="es-AR" w:bidi="es-AR"/>
        </w:rPr>
      </w:pPr>
      <w:r>
        <w:rPr>
          <w:lang w:val="es-AR" w:eastAsia="es-AR" w:bidi="es-AR"/>
        </w:rPr>
        <w:t xml:space="preserve">En cada uno de los puntos el apelante abunda en los fundamentos en que su parte pretende la modificación de la sentencia - a los que me remito en orden a la brevedad, en tanto los he de abarcar separadamente a continuación-, y solicita en definitiva se revoque  el fallo recurrido, rechazando íntegramente la demanda, con costas al accionante perdidoso.</w:t>
      </w:r>
    </w:p>
    <w:p>
      <w:pPr>
        <w:pStyle w:val="[Normal]"/>
        <w:spacing w:line="360" w:lineRule="auto"/>
        <w:ind w:firstLine="1134"/>
        <w:jc w:val="both"/>
        <w:rPr>
          <w:lang w:val="es-AR" w:eastAsia="es-AR" w:bidi="es-AR"/>
        </w:rPr>
      </w:pPr>
      <w:r>
        <w:rPr>
          <w:lang w:val="es-AR" w:eastAsia="es-AR" w:bidi="es-AR"/>
        </w:rPr>
        <w:t xml:space="preserve">I.- Por una cuestión de orden y método,  voy a  tratar en primer lugar  la queja desplegada por la citada en garantía, en virtud de haberse puesto en crisis el factor de responsabilidad que el juez a quo endilgara a la parte demandada.-</w:t>
      </w:r>
    </w:p>
    <w:p>
      <w:pPr>
        <w:pStyle w:val="[Normal]"/>
        <w:spacing w:line="360" w:lineRule="auto"/>
        <w:ind w:firstLine="1134"/>
        <w:jc w:val="both"/>
        <w:rPr>
          <w:lang w:val="es-AR" w:eastAsia="es-AR" w:bidi="es-AR"/>
        </w:rPr>
      </w:pPr>
      <w:r>
        <w:rPr>
          <w:lang w:val="es-AR" w:eastAsia="es-AR" w:bidi="es-AR"/>
        </w:rPr>
        <w:t xml:space="preserve">Ello así, he de señalar y tal como lo hiciera el a quo que "... </w:t>
      </w:r>
      <w:r>
        <w:rPr>
          <w:i/>
          <w:lang w:val="es-AR" w:eastAsia="es-AR" w:bidi="es-AR"/>
        </w:rPr>
        <w:t xml:space="preserve">el 30/10/2024 se decreta la rebeldía de Aguas y Sodas del Acuífero Puelche S.A., notificándosele la misma en fecha 31/10/2024. Que, en fecha 01/11/2024 se decreta la rebeldía de Lo Máximo en Suspensión S.R.L., notificándosele la misma en fecha 04/11/2024</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Ante tal panorama y por aplicación de las reglas de la responsabilidad objetiva, estaba en cabeza de la demandada la carga de acreditar la culpa de la víctima o de un tercero por quien no debiera responder, cosa que evidentemente no ocurrió, en tanto como señalara, la demanda quedó incontestada (art. 1757, 1758, 1769, 1721, 1724 y ccs. CCyC. Cgo. Civil y art. 354 inc. 1° del CPCCBA).</w:t>
      </w:r>
    </w:p>
    <w:p>
      <w:pPr>
        <w:pStyle w:val="[Normal]"/>
        <w:spacing w:line="360" w:lineRule="auto"/>
        <w:ind w:firstLine="1134"/>
        <w:jc w:val="both"/>
        <w:rPr>
          <w:lang w:val="es-AR" w:eastAsia="es-AR" w:bidi="es-AR"/>
        </w:rPr>
      </w:pPr>
      <w:r>
        <w:rPr>
          <w:lang w:val="es-AR" w:eastAsia="es-AR" w:bidi="es-AR"/>
        </w:rPr>
        <w:t xml:space="preserve">El juez consideró probados los hechos en la forma que relata en sentencia, esto es  "... </w:t>
      </w:r>
      <w:r>
        <w:rPr>
          <w:i/>
          <w:lang w:val="es-AR" w:eastAsia="es-AR" w:bidi="es-AR"/>
        </w:rPr>
        <w:t xml:space="preserve">que el día 04/04/2024, aproximadamente a las 7:30hs., el Sr. Agüero circulaba a bordo del rodado marca Mercedes Benz, modelo L 608 D/35, dominio SUE-393, por ruta Nacional 188 sentido Pergamino-Rojas. Que, en dicha circunstancia fue embestido en la parte trasera izquierda por el rodado marca Iveco, modelo Daily 59.12, dominio DLC-359, de propiedad de Lo Maximo en Suspension S.R.L., utilizado por Aguas y Sodas del Acuifero Puelche S.A.. Que, el punto de contacto se produjo entre el sector delantero derecho del vehículo marca Iveco, modelo Daily 59.12, dominio DLC-359, contra el sector trasero izquierdo del rodado marca Mercedes Benz, modelo L 608 D/35, dominio SUE-3</w:t>
      </w:r>
      <w:r>
        <w:rPr>
          <w:lang w:val="es-AR" w:eastAsia="es-AR" w:bidi="es-AR"/>
        </w:rPr>
        <w:t xml:space="preserve">93. "</w:t>
      </w:r>
    </w:p>
    <w:p>
      <w:pPr>
        <w:pStyle w:val="[Normal]"/>
        <w:spacing w:line="360" w:lineRule="auto"/>
        <w:ind w:firstLine="1134"/>
        <w:jc w:val="both"/>
        <w:rPr>
          <w:lang w:val="es-AR" w:eastAsia="es-AR" w:bidi="es-AR"/>
        </w:rPr>
      </w:pPr>
      <w:r>
        <w:rPr>
          <w:lang w:val="es-AR" w:eastAsia="es-AR" w:bidi="es-AR"/>
        </w:rPr>
        <w:t xml:space="preserve">Y, a continuación pasa a enumerar los medios probatorios en que se apoyara para determinar la conclusión final en cuanto a la responsabilidad atribuida a los demandados,  concretamente que  "...</w:t>
      </w:r>
      <w:r>
        <w:rPr>
          <w:i/>
          <w:lang w:val="es-AR" w:eastAsia="es-AR" w:bidi="es-AR"/>
        </w:rPr>
        <w:t xml:space="preserve">Con la pericia mecánica de fecha 21/11/2024 y las fotografías acompañadas, se ha logrado acreditar que el rodado Mercedes Benz al mando del actor ha sufrido daños como consecuencia del siniestro vial que protagonizara.  b) De la exposición de los hechos que considerara probados en el considerando anterior, surge la demostración de la existencia de la relación de causalidad.  c) Es un hecho notorio que todo automotor en movimiento es un objeto riesgoso, dentro de la caracterización que hace el art. 1769 y 1757 del C.C.C.N.. d) No se ha controvertido que el rodado marca Iveco, modelo Daily 59.12, dominio DLC-359, de propiedad de Lo Maximo en Suspension S.R.L., utilizado por Aguas y Sodas del Acuifero Puelche S.A. haya producido el daño.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Así es que el sentenciante, teniendo en cuenta que "..</w:t>
      </w:r>
      <w:r>
        <w:rPr>
          <w:i/>
          <w:lang w:val="es-AR" w:eastAsia="es-AR" w:bidi="es-AR"/>
        </w:rPr>
        <w:t xml:space="preserve">.se ha tenido por probado que el conductor del rodado marca Iveco, modelo Daily 59.12, dominio DLC-359 -de propiedad de Lo Máximo en Suspensión S.R.L., utilizado por Aguas y Sodas del Acuífero Puelche S.A.- conducía negligentemente, desatento a las contingencias del tránsito y que embistió el sector trasero del vehículo marca Mercedes Benz, modelo L 608 D/35, dominio SUE-393 conducido por el Sr. Agüero que se encontraba circulando delante suyo por la ruta nacional N° 188 sentido de circulación Pergamino-Rojas (Norte-Sur). Que, se encuentra demostrado que la causa del daño sufrido por el actores guarda relación con el accionar negligente e imprudente del conductor del rodado Iveco, que en una acción del alcance embistió desde atrás al rodado al mando del actor, mientras ambos circulaban por una ruta nacional; dejando más que claro que circulaba distraído y no advirtió la presencia del vehículo al mando del actor</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Ante tal panorama probatorio, es correcta la atribución de responsabilidad de los demandados, Lo Máximo en Suspensión S.R.L. y Aguas y Sodas del Acuífero Puelche S.A., respecto a los daños sufridos por la parte actora (Arts. 1721, 1724, 1757, 1758, 1769, 1740 y 1708 del C.C.C.N.).</w:t>
      </w:r>
    </w:p>
    <w:p>
      <w:pPr>
        <w:pStyle w:val="[Normal]"/>
        <w:spacing w:line="360" w:lineRule="auto"/>
        <w:ind w:firstLine="1134"/>
        <w:jc w:val="both"/>
        <w:rPr>
          <w:lang w:val="es-AR" w:eastAsia="es-AR" w:bidi="es-AR"/>
        </w:rPr>
      </w:pPr>
      <w:r>
        <w:rPr>
          <w:lang w:val="es-AR" w:eastAsia="es-AR" w:bidi="es-AR"/>
        </w:rPr>
        <w:t xml:space="preserve">Sobre ello corresponde recordar que la actuación de la citada en garantía se encuentra supeditada a la intervención del asegurado, no constituyendo un litisconsorcio pasivo necesario con éste, por lo que su participación en el proceso se encuentra ligada a la conducta  que asuma el demandado.-</w:t>
      </w:r>
    </w:p>
    <w:p>
      <w:pPr>
        <w:pStyle w:val="[Normal]"/>
        <w:spacing w:line="360" w:lineRule="auto"/>
        <w:ind w:firstLine="1134"/>
        <w:jc w:val="both"/>
        <w:rPr>
          <w:lang w:val="es-AR" w:eastAsia="es-AR" w:bidi="es-AR"/>
        </w:rPr>
      </w:pPr>
      <w:r>
        <w:rPr>
          <w:lang w:val="es-AR" w:eastAsia="es-AR" w:bidi="es-AR"/>
        </w:rPr>
        <w:t xml:space="preserve">Es así que el principal argumento que expone el recurrente, esto es  que "..</w:t>
      </w:r>
      <w:r>
        <w:rPr>
          <w:i/>
          <w:lang w:val="es-AR" w:eastAsia="es-AR" w:bidi="es-AR"/>
        </w:rPr>
        <w:t xml:space="preserve">.el a quo, debió pronunciarse según el merito de la causa, valorando debidamente las circunstancias del proceso y las pruebas aportadas.</w:t>
      </w:r>
      <w:r>
        <w:rPr>
          <w:lang w:val="es-AR" w:eastAsia="es-AR" w:bidi="es-AR"/>
        </w:rPr>
        <w:t xml:space="preserve">.." queda desvirtuado por el análisis concreto y exhaustivo que he expuesto anteriormente, esto es la contumacia de parte de los demandados, sumado a las restantes pruebas que se detallaran en la sentencia y que no se logran rebatir eficazmente.</w:t>
      </w:r>
    </w:p>
    <w:p>
      <w:pPr>
        <w:pStyle w:val="[Normal]"/>
        <w:spacing w:line="360" w:lineRule="auto"/>
        <w:ind w:firstLine="1134"/>
        <w:jc w:val="both"/>
        <w:rPr>
          <w:lang w:val="es-AR" w:eastAsia="es-AR" w:bidi="es-AR"/>
        </w:rPr>
      </w:pPr>
      <w:r>
        <w:rPr>
          <w:lang w:val="es-AR" w:eastAsia="es-AR" w:bidi="es-AR"/>
        </w:rPr>
        <w:t xml:space="preserve">Al respecto nuestro Máximo Tribunal ha sostenido que: </w:t>
      </w:r>
      <w:r>
        <w:rPr>
          <w:i/>
          <w:lang w:val="es-AR" w:eastAsia="es-AR" w:bidi="es-AR"/>
        </w:rPr>
        <w:t xml:space="preserve">"Cuando se produce el hecho del cual deriva la obligación de indemnizar por parte del asegurado al tercero, simultáneamente se torna exigible otra obligación: la de mantener esa indemnidad. Se trata de dos obligaciones independientes entre si, como ya se dijo. También ha expresado esta Corte que el contrato de seguro no constituye una estipulación en favor de tercero (art. 504, Código Civil) porque es celebrado en interés del asegurado, y que no existe ninguna acción directa en cabeza del tercero respecto del asegurador del causante del daño (conf. causas citadas; “Acuerdos y Sentencias”, 1985–III–373; causas Ac. 38.748, sent. 1–III–88; etc.). De todo lo expuesto se desprende con naturalidad que cuando la aseguradora responde a la citación en garantía solo puede oponer a la misma todas aquellas defensas que hacen a su legitimación pasiva, esto es, aquellas anteriores al siniestro  y  resultantes del contrato de seguro que demuestren que en ese momento no existía cobertura o, en su caso, la limitación que ésta tenia (conf. causa Ac. 39.505, sent. del 27–XII–88; entre otras). Pero ella no tiene que replicar los hechos alegados por el actor ni el derecho que dice asistirle, pues esa relación (tercero–victima y asegurado) le resulta totalmente ajena y no es parte ni sustancial ni formal de ella. Por lo tanto la remisión realizada a fs. 33 al escrito de contestación de demanda fue completamente inútil y superflua."</w:t>
      </w:r>
      <w:r>
        <w:rPr>
          <w:lang w:val="es-AR" w:eastAsia="es-AR" w:bidi="es-AR"/>
        </w:rPr>
        <w:t xml:space="preserve">( SCBA, Ac 43067 S 19-3-1991,  CARATULA: Marano, Rodolfo c/ Morzilli, Luis y otros; OBS. DEL FALLO: Modifica doctrina sustentada en sentencia L 42713 del 29-8-89.  s/ Daños y perjuicios PUBLICACIONES: AyS 1991-I-344; TRIB. DE ORIGEN: CC0203LP   - Sumario Juba: B21429).-</w:t>
      </w:r>
    </w:p>
    <w:p>
      <w:pPr>
        <w:pStyle w:val="[Normal]"/>
        <w:spacing w:line="360" w:lineRule="auto"/>
        <w:ind w:firstLine="1134"/>
        <w:jc w:val="both"/>
        <w:rPr>
          <w:lang w:val="es-AR" w:eastAsia="es-AR" w:bidi="es-AR"/>
        </w:rPr>
      </w:pPr>
      <w:r>
        <w:rPr>
          <w:lang w:val="es-AR" w:eastAsia="es-AR" w:bidi="es-AR"/>
        </w:rPr>
        <w:t xml:space="preserve">A mayor abundamiento, he de añadir que la rebeldía de los codemandados Aguas y Sodas del Acuífero Puelche S.A. y Lo Máximo en Suspensión S.R.L. no autoriza, por sí sola, a tener automáticamente por acreditados el hecho dañoso y la responsabilidad atribuida, desde que la contumacia no releva a la parte actora de probar los extremos constitutivos de su pretensión cuando éstos han sido oportunamente desconocidos por la citada en garantía. Tal es, en sustancia, la crítica ensayada por esta última al sostener que, frente a su negativa, incumbía al actor demostrar la efectiva ocurrencia del hecho y su relación causal, y que el a quo habría forzado indebidamente la valoración probatoria a mérito exclusivo de la rebeldía de los demandados.</w:t>
      </w:r>
    </w:p>
    <w:p>
      <w:pPr>
        <w:pStyle w:val="[Normal]"/>
        <w:spacing w:line="360" w:lineRule="auto"/>
        <w:ind w:firstLine="1134"/>
        <w:jc w:val="both"/>
        <w:rPr>
          <w:lang w:val="es-AR" w:eastAsia="es-AR" w:bidi="es-AR"/>
        </w:rPr>
      </w:pPr>
      <w:r>
        <w:rPr>
          <w:lang w:val="es-AR" w:eastAsia="es-AR" w:bidi="es-AR"/>
        </w:rPr>
        <w:t xml:space="preserve">Sin embargo, la queja no puede prosperar porque una lectura íntegra de las constancias de la causa muestra que la sentencia de grado no asentó su conclusión únicamente en la rebeldía de los demandados, sino en una valoración conjunta de ese comportamiento procesal con los restantes elementos de convicción incorporados al expediente. En efecto, el juzgador de origen dejó expresamente establecido que la rebeldía impedía una visión rigurosa de la prueba, pero añadió que, además de las presunciones derivadas de esa situación procesal, se habían reunido elementos suficientes para tener por demostrados los hechos lícitos invocados en la demanda, con sustento en los arts. 60 y 354 del CPCC.</w:t>
      </w:r>
    </w:p>
    <w:p>
      <w:pPr>
        <w:pStyle w:val="[Normal]"/>
        <w:spacing w:line="360" w:lineRule="auto"/>
        <w:ind w:firstLine="1134"/>
        <w:jc w:val="both"/>
        <w:rPr>
          <w:lang w:val="es-AR" w:eastAsia="es-AR" w:bidi="es-AR"/>
        </w:rPr>
      </w:pPr>
      <w:r>
        <w:rPr>
          <w:lang w:val="es-AR" w:eastAsia="es-AR" w:bidi="es-AR"/>
        </w:rPr>
        <w:t xml:space="preserve">Y esa conclusión encuentra apoyo objetivo en la pericia mecánica producida en autos. El experto, aún sin haber podido efectuar examen del Mercedes Benz por la destrucción posterior del rodado en otro siniestro denunciado el 22/12/2024, trabajó sobre las fotografías y demás elementos obrantes en la causa, y dictaminó que los daños del camión Mercedes Benz se concentraban en el sector trasero izquierdo, mientras que los del IVECO se localizaban en su sector frontal derecho, pudiendo establecer una concatenación compatible con una maniobra de alcance entre ambos vehículos, circulando en la misma dirección, en la que el frente derecho del IVECO impactó contra la parte trasera izquierda del Mercedes Benz. La propia sentencia apelada recogió ese contenido pericial y lo valoró como elemento corroborante de la mecánica denunciada por el actor.</w:t>
      </w:r>
    </w:p>
    <w:p>
      <w:pPr>
        <w:pStyle w:val="[Normal]"/>
        <w:spacing w:line="360" w:lineRule="auto"/>
        <w:ind w:firstLine="1134"/>
        <w:jc w:val="both"/>
        <w:rPr>
          <w:lang w:val="es-AR" w:eastAsia="es-AR" w:bidi="es-AR"/>
        </w:rPr>
      </w:pPr>
      <w:r>
        <w:rPr>
          <w:lang w:val="es-AR" w:eastAsia="es-AR" w:bidi="es-AR"/>
        </w:rPr>
        <w:t xml:space="preserve">A ello se agrega que, desde el inicio, la actora acompañó fotografías de los daños de ambos rodados y ofreció expresamente que el perito se expidiera sobre su correspondencia con los daños y reparaciones existentes, así como documental en poder de la contraparte vinculada con el vehículo IVECO y con la denuncia del siniestro, incluso solicitando que la eventual negativa o reticencia fuese ponderada como presunción adversa. También requirió informe al Registro de la Propiedad Automotor para determinar la titularidad del IVECO dominio DLC-359 a la fecha del hecho, extremo que guarda coherencia con la plataforma fáctica acogida por la sentencia de grado.</w:t>
      </w:r>
    </w:p>
    <w:p>
      <w:pPr>
        <w:pStyle w:val="[Normal]"/>
        <w:spacing w:line="360" w:lineRule="auto"/>
        <w:ind w:firstLine="1134"/>
        <w:jc w:val="both"/>
        <w:rPr>
          <w:lang w:val="es-AR" w:eastAsia="es-AR" w:bidi="es-AR"/>
        </w:rPr>
      </w:pPr>
      <w:r>
        <w:rPr>
          <w:lang w:val="es-AR" w:eastAsia="es-AR" w:bidi="es-AR"/>
        </w:rPr>
        <w:t xml:space="preserve">En ese marco, no advierto el yerro que denuncia la aseguradora. La rebeldía de los codemandados no fue elevada como prueba legal autosuficiente del hecho, sino ponderada como un indicio procesal que, apreciado juntamente con la prueba técnica y documental reunida, contribuyó a formar convicción sobre la ocurrencia del siniestro y sobre la intervención del IVECO dominio DLC-359, de titularidad de Lo Máximo en Suspensión S.R.L. y utilizado por Aguas y Sodas del Acuífero Puelche S.A. Precisamente, la sentencia apelada tuvo por acreditado que el actor circulaba por la Ruta Nacional 188 y que fue embestido en su parte trasera izquierda por dicho rodado, explicitando además la relación entre ese hecho y la negligencia del conductor del IVECO.</w:t>
      </w:r>
    </w:p>
    <w:p>
      <w:pPr>
        <w:pStyle w:val="[Normal]"/>
        <w:spacing w:line="360" w:lineRule="auto"/>
        <w:ind w:firstLine="1134"/>
        <w:jc w:val="both"/>
        <w:rPr>
          <w:lang w:val="es-AR" w:eastAsia="es-AR" w:bidi="es-AR"/>
        </w:rPr>
      </w:pPr>
      <w:r>
        <w:rPr>
          <w:lang w:val="es-AR" w:eastAsia="es-AR" w:bidi="es-AR"/>
        </w:rPr>
        <w:t xml:space="preserve">Por lo demás, aun cuando la citada en garantía sostiene que la rebeldía no podía suplir la carga de la prueba, omite hacerse cargo eficazmente de que la pericia mecánica no fue descartada por el sentenciante sino utilizada como corroboración objetiva de la mecánica del hecho; y si bien el experto aclaró que no pudo establecer una correlación integral de daños por falta de examen directo, ello no neutraliza el valor convictivo de sus restantes conclusiones acerca de la localización de los daños y de su compatibilidad con un impacto por alcance, máxime cuando tales conclusiones se apoyaron en las fotografías agregadas a la causa y fueron mantenidas por el perito al ratificar su informe.</w:t>
      </w:r>
    </w:p>
    <w:p>
      <w:pPr>
        <w:pStyle w:val="[Normal]"/>
        <w:spacing w:line="360" w:lineRule="auto"/>
        <w:ind w:firstLine="1134"/>
        <w:jc w:val="both"/>
        <w:rPr>
          <w:lang w:val="es-AR" w:eastAsia="es-AR" w:bidi="es-AR"/>
        </w:rPr>
      </w:pPr>
      <w:r>
        <w:rPr>
          <w:lang w:val="es-AR" w:eastAsia="es-AR" w:bidi="es-AR"/>
        </w:rPr>
        <w:t xml:space="preserve">Al respecto, </w:t>
      </w:r>
      <w:r>
        <w:rPr>
          <w:lang w:val="es-AR" w:eastAsia="es-AR" w:bidi="es-AR"/>
        </w:rPr>
        <w:t xml:space="preserve">se ha dicho que </w:t>
      </w:r>
      <w:r>
        <w:rPr>
          <w:i/>
          <w:lang w:val="es-AR" w:eastAsia="es-AR" w:bidi="es-AR"/>
        </w:rPr>
        <w:t xml:space="preserve">"...el procedimiento en rebeldía debe traer aparejada una efectiva descarga de la actividad probatoria en razón de la presunción de verdad que acompaña a las afirmaciones no contradichas, ante el silencio del emplazado...salvo que existiere contradicción entre los medios presumidos como ciertos y otras constancias de la causa traídas por el propio actor..." </w:t>
      </w:r>
      <w:r>
        <w:rPr>
          <w:lang w:val="es-AR" w:eastAsia="es-AR" w:bidi="es-AR"/>
        </w:rPr>
        <w:t xml:space="preserve">(confr. "Algo más sobre rebeldía, carga de la prueba y cuestiones de puro derecho", LL 144-910). Y toda vez que no se advierten tales contradicciones en la especie ni median fisuras lógicas ni inconsistencias fácticas a la luz de los restantes elementos acompañados, he de mantenerme en la tesitura señalada.</w:t>
      </w:r>
    </w:p>
    <w:p>
      <w:pPr>
        <w:pStyle w:val="[Normal]"/>
        <w:spacing w:line="360" w:lineRule="auto"/>
        <w:ind w:firstLine="1134"/>
        <w:jc w:val="both"/>
        <w:rPr>
          <w:lang w:val="es-AR" w:eastAsia="es-AR" w:bidi="es-AR"/>
        </w:rPr>
      </w:pPr>
      <w:r>
        <w:rPr>
          <w:lang w:val="es-AR" w:eastAsia="es-AR" w:bidi="es-AR"/>
        </w:rPr>
        <w:t xml:space="preserve">En definitiva, el agravio debe ser rechazado, pues la decisión apelada no derivó mecánicamente de la sola rebeldía de los codemandados, sino de una apreciación armónica del comportamiento procesal de éstos con los restantes elementos probatorios producidos, los que resultan idóneos para tener por acreditada, con el grado de certeza exigible en el proceso civil, la existencia del hecho dañoso y la responsabilidad atribuida.</w:t>
      </w:r>
    </w:p>
    <w:p>
      <w:pPr>
        <w:pStyle w:val="[Normal]"/>
        <w:spacing w:line="360" w:lineRule="auto"/>
        <w:ind w:firstLine="1134"/>
        <w:jc w:val="both"/>
        <w:rPr>
          <w:lang w:val="es-AR" w:eastAsia="es-AR" w:bidi="es-AR"/>
        </w:rPr>
      </w:pPr>
      <w:r>
        <w:rPr>
          <w:lang w:val="es-AR" w:eastAsia="es-AR" w:bidi="es-AR"/>
        </w:rPr>
        <w:t xml:space="preserve">II.- Tampoco es atendible el agravio referido a la falta de acreditación suficiente del siniestro y, en particular, de la intervención del vehículo IVECO dominio DLC-359.</w:t>
      </w:r>
    </w:p>
    <w:p>
      <w:pPr>
        <w:pStyle w:val="[Normal]"/>
        <w:spacing w:line="360" w:lineRule="auto"/>
        <w:ind w:firstLine="1134"/>
        <w:jc w:val="both"/>
        <w:rPr>
          <w:lang w:val="es-AR" w:eastAsia="es-AR" w:bidi="es-AR"/>
        </w:rPr>
      </w:pPr>
      <w:r>
        <w:rPr>
          <w:lang w:val="es-AR" w:eastAsia="es-AR" w:bidi="es-AR"/>
        </w:rPr>
        <w:t xml:space="preserve">En efecto, una vez despejado que la rebeldía de los codemandados no basta por sí sola para demostrar el hecho litigioso, corresponde examinar si los restantes elementos incorporados al proceso resultan idóneos para sostener la conclusión adoptada en la instancia de origen. Y, desde esa perspectiva, entiendo que la respuesta debe ser afirmativa.</w:t>
      </w:r>
    </w:p>
    <w:p>
      <w:pPr>
        <w:pStyle w:val="[Normal]"/>
        <w:spacing w:line="360" w:lineRule="auto"/>
        <w:ind w:firstLine="1134"/>
        <w:jc w:val="both"/>
        <w:rPr>
          <w:lang w:val="es-AR" w:eastAsia="es-AR" w:bidi="es-AR"/>
        </w:rPr>
      </w:pPr>
      <w:r>
        <w:rPr>
          <w:lang w:val="es-AR" w:eastAsia="es-AR" w:bidi="es-AR"/>
        </w:rPr>
        <w:t xml:space="preserve">La sentencia apelada tuvo por demostrado que el actor circulaba al mando del camión Mercedes Benz dominio </w:t>
      </w:r>
      <w:r>
        <w:rPr>
          <w:lang w:val="es-AR" w:eastAsia="es-AR" w:bidi="es-AR"/>
        </w:rPr>
        <w:t xml:space="preserve">SUE-393</w:t>
      </w:r>
      <w:r>
        <w:rPr>
          <w:lang w:val="es-AR" w:eastAsia="es-AR" w:bidi="es-AR"/>
        </w:rPr>
        <w:t xml:space="preserve"> y que, en dichas circunstancias, fue impactado en su parte trasera izquierda por el camión IVECO dominio DLC-359, utilizado por Aguas y Sodas del Acuífero Puelche S.A. y de titularidad de Lo Máximo en Suspensión S.R.L. Tal conclusión no aparece desprovista de sustento, sino respaldada por prueba técnica que ofrece corroboración objetiva acerca de la mecánica denunciada.</w:t>
      </w:r>
    </w:p>
    <w:p>
      <w:pPr>
        <w:pStyle w:val="[Normal]"/>
        <w:spacing w:line="360" w:lineRule="auto"/>
        <w:ind w:firstLine="1134"/>
        <w:jc w:val="both"/>
        <w:rPr>
          <w:lang w:val="es-AR" w:eastAsia="es-AR" w:bidi="es-AR"/>
        </w:rPr>
      </w:pPr>
      <w:r>
        <w:rPr>
          <w:lang w:val="es-AR" w:eastAsia="es-AR" w:bidi="es-AR"/>
        </w:rPr>
        <w:t xml:space="preserve">En particular, el perito mecánico informó que los daños observables en el Mercedes Benz se localizaban en el sector trasero izquierdo, mientras que los del IVECO se verificaban en su sector frontal derecho, concluyendo que ambos resultaban compatibles con una colisión por alcance entre vehículos que se desplazaban en una misma dirección, en la que el frente derecho del segundo impactó contra la parte posterior izquierda del primero. Ese dictamen, lejos de constituir una mera conjetura, aporta una base objetiva de verificación sobre la correspondencia entre los daños constatados y la secuencia fáctica afirmada en la demanda.</w:t>
      </w:r>
    </w:p>
    <w:p>
      <w:pPr>
        <w:pStyle w:val="[Normal]"/>
        <w:spacing w:line="360" w:lineRule="auto"/>
        <w:ind w:firstLine="1134"/>
        <w:jc w:val="both"/>
        <w:rPr>
          <w:lang w:val="es-AR" w:eastAsia="es-AR" w:bidi="es-AR"/>
        </w:rPr>
      </w:pPr>
      <w:r>
        <w:rPr>
          <w:lang w:val="es-AR" w:eastAsia="es-AR" w:bidi="es-AR"/>
        </w:rPr>
        <w:t xml:space="preserve">No obsta a ello la circunstancia de que el experto no hubiera podido examinar materialmente el Mercedes Benz, por haber sido destruido con posterioridad en otro evento. Esa limitación, expresamente consignada en la pericia, impide ciertamente otorgar al informe un alcance absoluto; pero no neutraliza su utilidad para establecer la compatibilidad entre los daños documentados y la mecánica del accidente alegado, que es, precisamente, el punto aquí debatido. La fuerza probatoria del dictamen debe apreciarse, entonces, en función de lo que efectivamente permite demostrar, y no de aquello que, por razones materiales sobrevinientes, ya no podía ser objeto de constatación directa.</w:t>
      </w:r>
    </w:p>
    <w:p>
      <w:pPr>
        <w:pStyle w:val="[Normal]"/>
        <w:spacing w:line="360" w:lineRule="auto"/>
        <w:ind w:firstLine="1134"/>
        <w:jc w:val="both"/>
        <w:rPr>
          <w:lang w:val="es-AR" w:eastAsia="es-AR" w:bidi="es-AR"/>
        </w:rPr>
      </w:pPr>
      <w:r>
        <w:rPr>
          <w:lang w:val="es-AR" w:eastAsia="es-AR" w:bidi="es-AR"/>
        </w:rPr>
        <w:t xml:space="preserve">A ello se suma que desde la propia demanda el actor individualizó de manera concreta el rodado presuntamente embistente, consignando su marca, dominio y vinculación con las sociedades demandadas, y acompañó fotografías que fueron tomadas en consideración por el experto al emitir su opinión técnica. Esa insistencia en la identificación del vehículo interviniente, unida a la correspondencia pericial entre las zonas de daño de ambos rodados, otorga consistencia a la atribución del hecho al IVECO dominio DLC-359.</w:t>
      </w:r>
    </w:p>
    <w:p>
      <w:pPr>
        <w:pStyle w:val="[Normal]"/>
        <w:spacing w:line="360" w:lineRule="auto"/>
        <w:ind w:firstLine="1134"/>
        <w:jc w:val="both"/>
        <w:rPr>
          <w:lang w:val="es-AR" w:eastAsia="es-AR" w:bidi="es-AR"/>
        </w:rPr>
      </w:pPr>
      <w:r>
        <w:rPr>
          <w:lang w:val="es-AR" w:eastAsia="es-AR" w:bidi="es-AR"/>
        </w:rPr>
        <w:t xml:space="preserve">En tales condiciones, la crítica de la citada en garantía no alcanza a desarticular la valoración efectuada por el sentenciante. Su planteo enfatiza las limitaciones de la prueba producida, pero no demuestra que ésta sea insuficiente para generar convicción razonable acerca de la ocurrencia del siniestro ni sobre la participación del vehículo señalado en la demanda. Antes bien, el cuadro probatorio examinado en su conjunto exhibe concordancia bastante para sostener, con el grado de certeza exigible en materia civil, la reconstrucción fáctica receptada en la sentencia apelada.</w:t>
      </w:r>
    </w:p>
    <w:p>
      <w:pPr>
        <w:pStyle w:val="[Normal]"/>
        <w:spacing w:line="360" w:lineRule="auto"/>
        <w:ind w:firstLine="1134"/>
        <w:jc w:val="both"/>
        <w:rPr>
          <w:lang w:val="es-AR" w:eastAsia="es-AR" w:bidi="es-AR"/>
        </w:rPr>
      </w:pPr>
      <w:r>
        <w:rPr>
          <w:lang w:val="es-AR" w:eastAsia="es-AR" w:bidi="es-AR"/>
        </w:rPr>
        <w:t xml:space="preserve">III.- Tampoco merece favorable acogida, al menos con el alcance pretendido, el agravio referido al valor probatorio de las fotografías, presupuestos y demás instrumentos privados acompañados por la parte actora, así como a la imposibilidad de inspección material del vehículo por parte del perito interviniente.</w:t>
      </w:r>
    </w:p>
    <w:p>
      <w:pPr>
        <w:pStyle w:val="[Normal]"/>
        <w:spacing w:line="360" w:lineRule="auto"/>
        <w:ind w:firstLine="1134"/>
        <w:jc w:val="both"/>
        <w:rPr>
          <w:lang w:val="es-AR" w:eastAsia="es-AR" w:bidi="es-AR"/>
        </w:rPr>
      </w:pPr>
      <w:r>
        <w:rPr>
          <w:lang w:val="es-AR" w:eastAsia="es-AR" w:bidi="es-AR"/>
        </w:rPr>
        <w:t xml:space="preserve">Si bien asiste razón a la citada en garantía en cuanto sostiene que las fotografías, presupuestos y restantes instrumentos privados acompañados por la actora, una vez desconocidos, no podían ser equiparados sin más a prueba plena y autosuficiente de los daños invocados, lo cierto es que de ello no se sigue la consecuencia extrema postulada por la recurrente, esto es, la total inutilidad probatoria del material acompañado. </w:t>
      </w:r>
    </w:p>
    <w:p>
      <w:pPr>
        <w:pStyle w:val="[Normal]"/>
        <w:spacing w:line="360" w:lineRule="auto"/>
        <w:ind w:firstLine="1134"/>
        <w:jc w:val="both"/>
        <w:rPr>
          <w:lang w:val="es-AR" w:eastAsia="es-AR" w:bidi="es-AR"/>
        </w:rPr>
      </w:pPr>
      <w:r>
        <w:rPr>
          <w:lang w:val="es-AR" w:eastAsia="es-AR" w:bidi="es-AR"/>
        </w:rPr>
        <w:t xml:space="preserve">En nuestro sistema procesal, el desconocimiento de instrumentos privados impide tener por acreditada sin más su autenticidad o autoría, pero no veda absolutamente su ponderación en conjunto con los restantes elementos de convicción, en especial cuando han sido tomados como base de análisis por un experto designado de oficio y sometidos a contradicción en el proceso.</w:t>
      </w:r>
    </w:p>
    <w:p>
      <w:pPr>
        <w:pStyle w:val="[Normal]"/>
        <w:spacing w:line="360" w:lineRule="auto"/>
        <w:ind w:firstLine="1134"/>
        <w:jc w:val="both"/>
        <w:rPr>
          <w:lang w:val="es-AR" w:eastAsia="es-AR" w:bidi="es-AR"/>
        </w:rPr>
      </w:pPr>
      <w:r>
        <w:rPr>
          <w:lang w:val="es-AR" w:eastAsia="es-AR" w:bidi="es-AR"/>
        </w:rPr>
        <w:t xml:space="preserve">En consecuencia, entiendo que las fotografías, presupuestos y demás instrumentos privados acompañados por la actora no pueden ser erigidos, por sí solos, en prueba concluyente del daño; pero tampoco corresponde descartarlos de plano cuando han integrado la base fáctica de una pericia oficial que fue producida, observada y ratificada dentro del contradictorio. Su eficacia probatoria, por tanto, debe apreciarse con alcance restringido y en conjunto con el resto de la prueba reunida, sin conferirles valor autónomo pleno, pero sin negarles toda aptitud corroborante.</w:t>
      </w:r>
    </w:p>
    <w:p>
      <w:pPr>
        <w:pStyle w:val="[Normal]"/>
        <w:spacing w:line="360" w:lineRule="auto"/>
        <w:ind w:firstLine="1134"/>
        <w:jc w:val="both"/>
        <w:rPr>
          <w:lang w:val="es-AR" w:eastAsia="es-AR" w:bidi="es-AR"/>
        </w:rPr>
      </w:pPr>
      <w:r>
        <w:rPr>
          <w:lang w:val="es-AR" w:eastAsia="es-AR" w:bidi="es-AR"/>
        </w:rPr>
        <w:t xml:space="preserve">De tal manera, el agravio no puede prosperar en cuanto pretende la exclusión absoluta de esa documental y la descalificación total de la pericia por ausencia de inspección material. Esa imposibilidad de examen directo disminuye la fuerza convictiva del informe, pero no lo invalida; y el desconocimiento de los instrumentos privados impide asignarles valor pleno autónomo, pero no obsta a su consideración como elementos indiciarios y de apoyo técnico. Sin perjuicio de ello, la incidencia concreta de tales limitaciones sobre la procedencia y cuantificación del daño material será examinada al tratar el agravio específico referido a ese rubro.</w:t>
      </w:r>
    </w:p>
    <w:p>
      <w:pPr>
        <w:pStyle w:val="[Normal]"/>
        <w:spacing w:line="360" w:lineRule="auto"/>
        <w:ind w:firstLine="1134"/>
        <w:jc w:val="both"/>
        <w:rPr>
          <w:lang w:val="es-AR" w:eastAsia="es-AR" w:bidi="es-AR"/>
        </w:rPr>
      </w:pPr>
      <w:r>
        <w:rPr>
          <w:lang w:val="es-AR" w:eastAsia="es-AR" w:bidi="es-AR"/>
        </w:rPr>
        <w:t xml:space="preserve">Siguiendo la tesitura hasta aquí expuesta, considero que no puede prosperar el agravio de la citada en garantía dirigido a cuestionar la procedencia del rubro daño material y, subsidiariamente, la corrección de su cuantificación.</w:t>
      </w:r>
    </w:p>
    <w:p>
      <w:pPr>
        <w:pStyle w:val="[Normal]"/>
        <w:spacing w:line="360" w:lineRule="auto"/>
        <w:ind w:firstLine="1134"/>
        <w:jc w:val="both"/>
        <w:rPr>
          <w:lang w:val="es-AR" w:eastAsia="es-AR" w:bidi="es-AR"/>
        </w:rPr>
      </w:pPr>
      <w:r>
        <w:rPr>
          <w:lang w:val="es-AR" w:eastAsia="es-AR" w:bidi="es-AR"/>
        </w:rPr>
        <w:t xml:space="preserve">En cuanto a su procedencia, no advierto razones para apartarme de lo decidido en la instancia de origen. En efecto, la demanda individualizó con precisión los menoscabos patrimoniales cuyo resarcimiento se pretendía, reclamando por un lado el costo de reparación del vehículo Mercedes Benz dominio SUE-393 con sustento en el presupuesto acompañado, y por otro el reintegro de la suma efectivamente desembolsada para la reposición de una llanta, acreditada mediante la factura respectiva. A su vez, la sentencia apelada tuvo por ilustrativos de tales deterioros tanto las fotografías acompañadas con la demanda como la pericia mecánica producida en autos, destacando que el experto verificó daños en el sector trasero izquierdo del rodado y en la llanta, y que consideró coherentes con valores razonables de mercado los repuestos consignados en la factura y en la cotización acompañadas.</w:t>
      </w:r>
    </w:p>
    <w:p>
      <w:pPr>
        <w:pStyle w:val="[Normal]"/>
        <w:spacing w:line="360" w:lineRule="auto"/>
        <w:ind w:firstLine="1134"/>
        <w:jc w:val="both"/>
        <w:rPr>
          <w:lang w:val="es-AR" w:eastAsia="es-AR" w:bidi="es-AR"/>
        </w:rPr>
      </w:pPr>
      <w:r>
        <w:rPr>
          <w:lang w:val="es-AR" w:eastAsia="es-AR" w:bidi="es-AR"/>
        </w:rPr>
        <w:t xml:space="preserve">Es cierto, como ya quedó dicho al tratar el agravio precedente, que los presupuestos, fotografías y demás instrumentos privados acompañados por la actora, una vez desconocidos, no pueden ser considerados aisladamente como prueba plena del daño. Pero también lo es que en autos no quedaron huérfanos de corroboración, pues fueron sometidos al examen del perito mecánico, quien no sólo describió los daños visibles en el vehículo, sino que además dictaminó que los valores consignados en la factura y en la cotización resultaban coherentes con los valores razonables de mercado para los repuestos involucrados. Desde esa perspectiva, la suficiencia probatoria del rubro no reposa exclusivamente en la documental privada, sino en su convergencia con la prueba pericial producida en el expediente.</w:t>
      </w:r>
    </w:p>
    <w:p>
      <w:pPr>
        <w:pStyle w:val="[Normal]"/>
        <w:spacing w:line="360" w:lineRule="auto"/>
        <w:ind w:firstLine="1134"/>
        <w:jc w:val="both"/>
        <w:rPr>
          <w:lang w:val="es-AR" w:eastAsia="es-AR" w:bidi="es-AR"/>
        </w:rPr>
      </w:pPr>
      <w:r>
        <w:rPr>
          <w:lang w:val="es-AR" w:eastAsia="es-AR" w:bidi="es-AR"/>
        </w:rPr>
        <w:t xml:space="preserve">No modifica esta conclusión la imposibilidad de inspección material del vehículo por parte del experto. Si bien esa circunstancia limitó el alcance del dictamen, no lo tornó estéril, pues el perito igualmente pudo expedirse sobre la existencia, localización y razonabilidad económica de los daños a partir de los elementos disponibles en autos, extremos que el sentenciante ponderó expresamente al admitir el rubro. De allí que la crítica de la aseguradora, construida sobre la base de negar toda eficacia a la prueba producida, no resulte atendible.</w:t>
      </w:r>
    </w:p>
    <w:p>
      <w:pPr>
        <w:pStyle w:val="[Normal]"/>
        <w:spacing w:line="360" w:lineRule="auto"/>
        <w:ind w:firstLine="1134"/>
        <w:jc w:val="both"/>
        <w:rPr>
          <w:lang w:val="es-AR" w:eastAsia="es-AR" w:bidi="es-AR"/>
        </w:rPr>
      </w:pPr>
      <w:r>
        <w:rPr>
          <w:lang w:val="es-AR" w:eastAsia="es-AR" w:bidi="es-AR"/>
        </w:rPr>
        <w:t xml:space="preserve">Tampoco encuentro mérito para revisar la cuantificación efectuada en origen. El juez de grado no reprodujo de manera automática las cifras pretendidas en la demanda, sino que ponderó la fecha de la factura y del presupuesto -ambos del 09/04/2024- y, atendiendo al proceso inflacionario transcurrido hasta el momento del dictado de la sentencia, fijó prudencialmente la indemnización por daño material en la suma de $2.330.700. Esa forma de decidir no aparece irrazonable, en tanto el rubro comprendía tanto una erogación ya realizada y documentada como reparaciones pendientes, y la propia demanda había solicitado la suma que en más o en menos resultara de la prueba, con más la pertinente depreciación monetaria.</w:t>
      </w:r>
    </w:p>
    <w:p>
      <w:pPr>
        <w:pStyle w:val="[Normal]"/>
        <w:spacing w:line="360" w:lineRule="auto"/>
        <w:ind w:firstLine="1134"/>
        <w:jc w:val="both"/>
        <w:rPr>
          <w:lang w:val="es-AR" w:eastAsia="es-AR" w:bidi="es-AR"/>
        </w:rPr>
      </w:pPr>
      <w:r>
        <w:rPr>
          <w:lang w:val="es-AR" w:eastAsia="es-AR" w:bidi="es-AR"/>
        </w:rPr>
        <w:t xml:space="preserve">A ello se adiciona que la propia crítica recursiva no aporta una cuantificación alternativa seria ni demuestra, con apoyo técnico concreto, que la suma reconocida exceda notoriamente el costo razonable de reposición o reparación de los daños comprobados. Antes bien, se limita a insistir en la insuficiencia o ineficacia de la prueba rendida, objeción que, por las razones ya expuestas, no alcanza para desarticular el razonamiento del fallo.</w:t>
      </w:r>
    </w:p>
    <w:p>
      <w:pPr>
        <w:pStyle w:val="[Normal]"/>
        <w:spacing w:line="360" w:lineRule="auto"/>
        <w:ind w:firstLine="1134"/>
        <w:jc w:val="both"/>
        <w:rPr>
          <w:lang w:val="es-AR" w:eastAsia="es-AR" w:bidi="es-AR"/>
        </w:rPr>
      </w:pPr>
      <w:r>
        <w:rPr>
          <w:lang w:val="es-AR" w:eastAsia="es-AR" w:bidi="es-AR"/>
        </w:rPr>
        <w:t xml:space="preserve">En suma, considero que la existencia del daño material quedó suficientemente acreditada y que la cuantificación efectuada por el a quo, fijada con criterio prudencial sobre bases objetivas obrantes en la causa, no se muestra arbitraria ni desproporcionada. En consecuencia, el agravio debe ser rechazado.</w:t>
      </w:r>
    </w:p>
    <w:p>
      <w:pPr>
        <w:pStyle w:val="[Normal]"/>
        <w:spacing w:line="360" w:lineRule="auto"/>
        <w:ind w:firstLine="1134"/>
        <w:jc w:val="both"/>
        <w:rPr>
          <w:lang w:val="es-AR" w:eastAsia="es-AR" w:bidi="es-AR"/>
        </w:rPr>
      </w:pPr>
      <w:r>
        <w:rPr>
          <w:lang w:val="es-AR" w:eastAsia="es-AR" w:bidi="es-AR"/>
        </w:rPr>
        <w:t xml:space="preserve">Finalmente, corresponde tratar conjuntamente los agravios vinculados con el daño moral, desde que ambos convergen sobre un mismo objeto de decisión, aunque desde perspectivas contrapuestas. En efecto, mientras la citada en garantía cuestiona la procedencia misma del rubro y, subsidiariamente, la razonabilidad de su cuantificación, la parte actora se agravia por estimar exiguo el monto reconocido en la instancia de origen, sosteniendo que no refleja adecuadamente la entidad de las afecciones extrapatrimoniales derivadas del hecho y de sus consecuencias posteriores.</w:t>
      </w:r>
    </w:p>
    <w:p>
      <w:pPr>
        <w:pStyle w:val="[Normal]"/>
        <w:spacing w:line="360" w:lineRule="auto"/>
        <w:ind w:firstLine="1134"/>
        <w:jc w:val="both"/>
        <w:rPr>
          <w:lang w:val="es-AR" w:eastAsia="es-AR" w:bidi="es-AR"/>
        </w:rPr>
      </w:pPr>
      <w:r>
        <w:rPr>
          <w:lang w:val="es-AR" w:eastAsia="es-AR" w:bidi="es-AR"/>
        </w:rPr>
        <w:t xml:space="preserve">Adelanto que el agravio de la citada en garantía no ha de prosperar, mientras que sí corresponde acoger parcialmente la queja del actor, elevando la suma reconocida por este concepto.</w:t>
      </w:r>
    </w:p>
    <w:p>
      <w:pPr>
        <w:pStyle w:val="[Normal]"/>
        <w:spacing w:line="360" w:lineRule="auto"/>
        <w:ind w:firstLine="1134"/>
        <w:jc w:val="both"/>
        <w:rPr>
          <w:lang w:val="es-AR" w:eastAsia="es-AR" w:bidi="es-AR"/>
        </w:rPr>
      </w:pPr>
      <w:r>
        <w:rPr>
          <w:lang w:val="es-AR" w:eastAsia="es-AR" w:bidi="es-AR"/>
        </w:rPr>
        <w:t xml:space="preserve">Si bien es cierto que no toda incomodidad, disgusto o contratiempo cotidiano justifica por sí una reparación autónoma, no lo es menos que, acreditado un accidente de tránsito como el de autos, con daños en el vehículo del actor y con las derivaciones que ordinariamente se siguen de un episodio de esa naturaleza, el padecimiento espiritual aparece según el curso normal y ordinario de las cosas como una consecuencia inmediata y verosímil del hecho (arts. 384 del  CPCCBA y art. 1727 del CCyC). En otras palabras, no se trata aquí de exigir una prueba directa, acabada y específica de cada repercusión anímica, sino de valorar si las circunstancias objetivamente comprobadas autorizan a inferir la existencia de una afectación espiritual resarcible. Y en este punto, la respuesta debe ser afirmativa.</w:t>
      </w:r>
    </w:p>
    <w:p>
      <w:pPr>
        <w:pStyle w:val="[Normal]"/>
        <w:spacing w:line="360" w:lineRule="auto"/>
        <w:ind w:firstLine="1134"/>
        <w:jc w:val="both"/>
        <w:rPr>
          <w:lang w:val="es-AR" w:eastAsia="es-AR" w:bidi="es-AR"/>
        </w:rPr>
      </w:pPr>
      <w:r>
        <w:rPr>
          <w:lang w:val="es-AR" w:eastAsia="es-AR" w:bidi="es-AR"/>
        </w:rPr>
        <w:t xml:space="preserve">Es que todo accidente de tránsito genera, por regla, una situación de conmoción, alteración y desasosiego que excede el mero plano patrimonial. A ello se añaden, en casos como el presente, las molestias ulteriores derivadas de la necesidad de efectuar reclamos, gestionar presupuestos, procurar la reparación o reposición de lo dañado, soportar demoras, encauzar intimaciones y, finalmente, promover una acción judicial para obtener el reconocimiento de un crédito resarcitorio. Todo ello constituye una fuente objetiva de desgaste anímico que no puede ser banalizada ni reducida a simples incomodidades inocuas, sobre todo cuando el damnificado se ve compelido a atravesar un derrotero de reclamos para obtener una reparación justa.</w:t>
      </w:r>
    </w:p>
    <w:p>
      <w:pPr>
        <w:pStyle w:val="[Normal]"/>
        <w:spacing w:line="360" w:lineRule="auto"/>
        <w:ind w:firstLine="1134"/>
        <w:jc w:val="both"/>
        <w:rPr>
          <w:lang w:val="es-AR" w:eastAsia="es-AR" w:bidi="es-AR"/>
        </w:rPr>
      </w:pPr>
      <w:r>
        <w:rPr>
          <w:lang w:val="es-AR" w:eastAsia="es-AR" w:bidi="es-AR"/>
        </w:rPr>
        <w:t xml:space="preserve">La propia sentencia de grado admitió el rubro y lo cuantificó en la suma de $820.000, de donde se sigue que ya se reconoció la existencia de una lesión extrapatrimonial indemnizable. A su vez, el actor, al expresar agravios, cuestionó de manera concreta esa cuantificación por considerarla insuficiente, destacando la revictimización sufrida, la prolongación del conflicto, el menosprecio evidenciado frente a su reclamo y la ausencia de una fundamentación bastante del monto reconocido. Esa crítica, a mi juicio, debe ser atendida en una medida razonable.</w:t>
      </w:r>
    </w:p>
    <w:p>
      <w:pPr>
        <w:pStyle w:val="[Normal]"/>
        <w:spacing w:line="360" w:lineRule="auto"/>
        <w:ind w:firstLine="1134"/>
        <w:jc w:val="both"/>
        <w:rPr>
          <w:lang w:val="es-AR" w:eastAsia="es-AR" w:bidi="es-AR"/>
        </w:rPr>
      </w:pPr>
      <w:r>
        <w:rPr>
          <w:lang w:val="es-AR" w:eastAsia="es-AR" w:bidi="es-AR"/>
        </w:rPr>
        <w:t xml:space="preserve">En cambio, no asiste razón a la citada en garantía cuando pretende negar la procedencia del rubro o reducirlo a una expresión meramente simbólica. La circunstancia de que no exista una prueba psicológica, médica o testimonial específica sobre el padecimiento espiritual no obsta a su admisión -en todo caso, impide admitirlo en una extensión mayor a la normal o previsible-, pues en supuestos como el presente el daño moral puede tenerse por configurado </w:t>
      </w:r>
      <w:r>
        <w:rPr>
          <w:i/>
          <w:lang w:val="es-AR" w:eastAsia="es-AR" w:bidi="es-AR"/>
        </w:rPr>
        <w:t xml:space="preserve">in re ipsa</w:t>
      </w:r>
      <w:r>
        <w:rPr>
          <w:lang w:val="es-AR" w:eastAsia="es-AR" w:bidi="es-AR"/>
        </w:rPr>
        <w:t xml:space="preserve">, en tanto deriva razonablemente del propio hecho lesivo y de las consecuencias que normalmente acarrea para quien lo padece. No estamos ante una presunción irrefragable ni automática, pero sí frente a una inferencia judicial legítima fundada en máximas de experiencia y en la apreciación prudencial de las circunstancias comprobadas del caso.</w:t>
      </w:r>
    </w:p>
    <w:p>
      <w:pPr>
        <w:pStyle w:val="[Normal]"/>
        <w:spacing w:line="360" w:lineRule="auto"/>
        <w:ind w:firstLine="1134"/>
        <w:jc w:val="both"/>
        <w:rPr>
          <w:lang w:val="es-AR" w:eastAsia="es-AR" w:bidi="es-AR"/>
        </w:rPr>
      </w:pPr>
      <w:r>
        <w:rPr>
          <w:lang w:val="es-AR" w:eastAsia="es-AR" w:bidi="es-AR"/>
        </w:rPr>
        <w:t xml:space="preserve">A ello se suma que el hecho no quedó agotado en el instante del impacto. Por el contrario, sus efectos se proyectaron en el tiempo mediante la necesidad de afrontar gestiones, insistencias y el propio proceso judicial, todo lo cual importó para el actor una carga adicional de inquietud, frustración y desgaste. Desde esa óptica, la entidad del perjuicio extrapatrimonial no puede mensurarse exclusivamente por la materialidad de los daños en el vehículo, sino también por la incidencia del episodio y de su ulterior desenvolvimiento sobre la tranquilidad espiritual del damnificado.</w:t>
      </w:r>
    </w:p>
    <w:p>
      <w:pPr>
        <w:pStyle w:val="[Normal]"/>
        <w:spacing w:line="360" w:lineRule="auto"/>
        <w:ind w:firstLine="1134"/>
        <w:jc w:val="both"/>
        <w:rPr>
          <w:lang w:val="es-AR" w:eastAsia="es-AR" w:bidi="es-AR"/>
        </w:rPr>
      </w:pPr>
      <w:r>
        <w:rPr>
          <w:lang w:val="es-AR" w:eastAsia="es-AR" w:bidi="es-AR"/>
        </w:rPr>
        <w:t xml:space="preserve">Por ello, entiendo que la suma fijada en la instancia de origen no alcanza a representar de manera suficiente la real magnitud del menoscabo padecido. Sin perder de vista el carácter prudencial que preside la cuantificación de este tipo de daño, estimo más equitativo elevar el rubro a la suma de pesos dos millones quinientos mil ($ 2.500.000), importe que luce más adecuado para traducir, en términos resarcitorios, la conmoción inicial propia del accidente, las molestias y zozobras posteriores, la necesidad de someterse a trámites y reclamos para canalizar la pretensión resarcitoria y el desgaste inherente a la prosecución del proceso judicial hasta obtener tutela jurisdiccional.</w:t>
      </w:r>
    </w:p>
    <w:p>
      <w:pPr>
        <w:pStyle w:val="[Normal]"/>
        <w:spacing w:line="360" w:lineRule="auto"/>
        <w:ind w:firstLine="1134"/>
        <w:jc w:val="both"/>
        <w:rPr>
          <w:lang w:val="es-AR" w:eastAsia="es-AR" w:bidi="es-AR"/>
        </w:rPr>
      </w:pPr>
      <w:r>
        <w:rPr>
          <w:lang w:val="es-AR" w:eastAsia="es-AR" w:bidi="es-AR"/>
        </w:rPr>
        <w:t xml:space="preserve">En consecuencia, corresponde rechazar el agravio de la citada en garantía en cuanto cuestiona la procedencia y cuantificación del daño moral, y admitir parcialmente el agravio del actor, elevando el monto reconocido por dicho concepto de $820.000 a $2.500.000.</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citada en garantía, confirmando la sentencia apelada en lo que fuera materia de recurso.</w:t>
      </w:r>
    </w:p>
    <w:p>
      <w:pPr>
        <w:pStyle w:val="[Normal]"/>
        <w:spacing w:line="360" w:lineRule="auto"/>
        <w:ind w:firstLine="1134"/>
        <w:jc w:val="both"/>
        <w:rPr>
          <w:lang w:val="es-AR" w:eastAsia="es-AR" w:bidi="es-AR"/>
        </w:rPr>
      </w:pPr>
      <w:r>
        <w:rPr>
          <w:lang w:val="es-AR" w:eastAsia="es-AR" w:bidi="es-AR"/>
        </w:rPr>
        <w:t xml:space="preserve">2) Acoger parcialmente el recurso de apelación interpuesto por la parte actora, determinando en consecuencia el importe correspondiente al rubro daño moral en la suma de pesos dos millones quinientos mil ($ 2.500.000), con más actualización e intereses conforme fuere dispuesto en la sentencia de grado en tanto no han sido materia del presente recurso. </w:t>
      </w:r>
    </w:p>
    <w:p>
      <w:pPr>
        <w:pStyle w:val="[Normal]"/>
        <w:spacing w:line="360" w:lineRule="auto"/>
        <w:ind w:firstLine="1134"/>
        <w:jc w:val="both"/>
        <w:rPr>
          <w:lang w:val="es-AR" w:eastAsia="es-AR" w:bidi="es-AR"/>
        </w:rPr>
      </w:pPr>
      <w:r>
        <w:rPr>
          <w:lang w:val="es-AR" w:eastAsia="es-AR" w:bidi="es-AR"/>
        </w:rPr>
        <w:t xml:space="preserve">3) Imponer las costas a la parte demandada y a la citada en garantía vencidas (arts. 68/9 del CPCCBA).</w:t>
      </w:r>
    </w:p>
    <w:p>
      <w:pPr>
        <w:pStyle w:val="[Normal]"/>
        <w:spacing w:line="360" w:lineRule="auto"/>
        <w:ind w:firstLine="1134"/>
        <w:jc w:val="both"/>
        <w:rPr>
          <w:lang w:val="es-AR" w:eastAsia="es-AR" w:bidi="es-AR"/>
        </w:rPr>
      </w:pPr>
      <w:r>
        <w:rPr>
          <w:lang w:val="es-AR" w:eastAsia="es-AR" w:bidi="es-AR"/>
        </w:rPr>
        <w:t xml:space="preserve">4) Diferir la regulación de honorarios para su oportunidad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citada en garantía, confirmando la sentencia apelada en lo que fuera materia de recurso.</w:t>
      </w:r>
    </w:p>
    <w:p>
      <w:pPr>
        <w:pStyle w:val="[Normal]"/>
        <w:spacing w:line="360" w:lineRule="auto"/>
        <w:ind w:firstLine="1134"/>
        <w:jc w:val="both"/>
        <w:rPr>
          <w:lang w:val="es-AR" w:eastAsia="es-AR" w:bidi="es-AR"/>
        </w:rPr>
      </w:pPr>
      <w:r>
        <w:rPr>
          <w:lang w:val="es-AR" w:eastAsia="es-AR" w:bidi="es-AR"/>
        </w:rPr>
        <w:t xml:space="preserve">2) Acoger parcialmente el recurso de apelación interpuesto por la parte actora, determinando en consecuencia el importe correspondiente rubro daño moral en la suma de pesos dos millones quinientos mil ($ 2.500.000) con más actualización e intereses conforme fueren dispuesto en la sentencia de grado en tanto no han sido materia del presente recurso. </w:t>
      </w:r>
    </w:p>
    <w:p>
      <w:pPr>
        <w:pStyle w:val="[Normal]"/>
        <w:spacing w:line="360" w:lineRule="auto"/>
        <w:ind w:firstLine="1134"/>
        <w:jc w:val="both"/>
        <w:rPr>
          <w:lang w:val="es-AR" w:eastAsia="es-AR" w:bidi="es-AR"/>
        </w:rPr>
      </w:pPr>
      <w:r>
        <w:rPr>
          <w:lang w:val="es-AR" w:eastAsia="es-AR" w:bidi="es-AR"/>
        </w:rPr>
        <w:t xml:space="preserve">3) Imponer las costas a la parte demandada y a la citada en garantía vencidas (arts. 68/9 del CPCCBA).</w:t>
      </w:r>
    </w:p>
    <w:p>
      <w:pPr>
        <w:pStyle w:val="[Normal]"/>
        <w:spacing w:line="360" w:lineRule="auto"/>
        <w:ind w:firstLine="1134"/>
        <w:jc w:val="both"/>
        <w:rPr>
          <w:lang w:val="es-AR" w:eastAsia="es-AR" w:bidi="es-AR"/>
        </w:rPr>
      </w:pPr>
      <w:r>
        <w:rPr>
          <w:lang w:val="es-AR" w:eastAsia="es-AR" w:bidi="es-AR"/>
        </w:rPr>
        <w:t xml:space="preserve">4) Diferir la regulación de honorarios para su oportunidad (art. 31 de la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19/03/2026 10:10:14 -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19/03/2026 10:22:01 -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19/03/2026 10:51:20 -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‰9(")è&amp;qtwsŠ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250802090006818487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19/03/2026 10:51:41 hs. bajo el número RS-34-2026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