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spacing w:line="360" w:lineRule="auto"/>
        <w:ind w:firstLine="1134"/>
        <w:jc w:val="both"/>
        <w:rPr>
          <w:lang w:val="es-AR" w:eastAsia="es-AR" w:bidi="es-AR"/>
        </w:rPr>
      </w:pPr>
      <w:r>
        <w:rPr>
          <w:lang w:val="es-AR" w:eastAsia="es-AR" w:bidi="es-AR"/>
        </w:rPr>
        <w:t xml:space="preserve"> En la ciudad de Pergamino, reunidos en Acuerdo Ordinario los Sres. Jueces de la Excma. Cámara de Apelación en lo Civil y Comercial del Departamento Judicial Pergamino, para dictar sentencia en la causa N° </w:t>
      </w:r>
      <w:r>
        <w:rPr>
          <w:b/>
          <w:color w:val="000000"/>
          <w:lang w:val="es-AR" w:eastAsia="es-AR" w:bidi="es-AR"/>
        </w:rPr>
        <w:t xml:space="preserve">5968-26</w:t>
      </w:r>
      <w:r>
        <w:rPr>
          <w:lang w:val="es-AR" w:eastAsia="es-AR" w:bidi="es-AR"/>
        </w:rPr>
        <w:t xml:space="preserve"> caratulada </w:t>
      </w:r>
      <w:r>
        <w:rPr>
          <w:b/>
          <w:lang w:val="es-AR" w:eastAsia="es-AR" w:bidi="es-AR"/>
        </w:rPr>
        <w:t xml:space="preserve">"</w:t>
      </w:r>
      <w:r>
        <w:rPr>
          <w:b/>
          <w:color w:val="000000"/>
          <w:lang w:val="es-AR" w:eastAsia="es-AR" w:bidi="es-AR"/>
        </w:rPr>
        <w:t xml:space="preserve">ESCALANTE DANIEL OSCAR C/ AMX ARGENTINA S.A  S/ HABEAS DATA</w:t>
      </w:r>
      <w:r>
        <w:rPr>
          <w:b/>
          <w:lang w:val="es-AR" w:eastAsia="es-AR" w:bidi="es-AR"/>
        </w:rPr>
        <w:t xml:space="preserve">"</w:t>
      </w:r>
      <w:r>
        <w:rPr>
          <w:lang w:val="es-AR" w:eastAsia="es-AR" w:bidi="es-AR"/>
        </w:rPr>
        <w:t xml:space="preserve">, Expte. </w:t>
      </w:r>
      <w:r>
        <w:rPr>
          <w:color w:val="000000"/>
          <w:lang w:val="es-AR" w:eastAsia="es-AR" w:bidi="es-AR"/>
        </w:rPr>
        <w:t xml:space="preserve">68.209</w:t>
      </w:r>
      <w:r>
        <w:rPr>
          <w:color w:val="000000"/>
          <w:lang w:val="es-AR" w:eastAsia="es-AR" w:bidi="es-AR"/>
        </w:rPr>
        <w:t xml:space="preserve"> </w:t>
      </w:r>
      <w:r>
        <w:rPr>
          <w:lang w:val="es-AR" w:eastAsia="es-AR" w:bidi="es-AR"/>
        </w:rPr>
        <w:t xml:space="preserve">del Juzgado en lo Civil y Comercial N° 3, se practicó el sorteo de ley que determinó que la votación debía efectuarse en el siguiente orden: Graciela Scaraffia y Roberto Degleue, y estudiados los autos se resolvió plantear y votar las siguientes: </w:t>
      </w:r>
    </w:p>
    <w:p>
      <w:pPr>
        <w:pStyle w:val="[Normal]"/>
        <w:spacing w:line="360" w:lineRule="auto"/>
        <w:ind w:firstLine="1134"/>
        <w:jc w:val="both"/>
        <w:rPr>
          <w:lang w:val="es-AR" w:eastAsia="es-AR" w:bidi="es-AR"/>
        </w:rPr>
      </w:pPr>
      <w:r>
        <w:rPr>
          <w:b/>
          <w:lang w:val="es-AR" w:eastAsia="es-AR" w:bidi="es-AR"/>
        </w:rPr>
        <w:t xml:space="preserve">C U E S T I O N E S</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la señora Jueza Graciela Scaraffia dijo:</w:t>
      </w:r>
    </w:p>
    <w:p>
      <w:pPr>
        <w:pStyle w:val="[Normal]"/>
        <w:spacing w:line="360" w:lineRule="auto"/>
        <w:ind w:firstLine="1134"/>
        <w:jc w:val="both"/>
        <w:rPr>
          <w:color w:val="000000"/>
          <w:lang w:val="es-AR" w:eastAsia="es-AR" w:bidi="es-AR"/>
        </w:rPr>
      </w:pPr>
      <w:r>
        <w:rPr>
          <w:lang w:val="es-AR" w:eastAsia="es-AR" w:bidi="es-AR"/>
        </w:rPr>
        <w:t xml:space="preserve">El Sr. Juez de la anterior instancia hizo lugar a la acción de hábeas data interpuesta por el Sr. Daniel Oscar Escalante y en consecuencia, ordenó a la demandada AMX Argentina S.A. que dentro del plazo de diez días brinde al actor, de manera amplia, completa, clara y precisa, información relativa a los datos personales registrados a su respecto, incluyendo antecedentes, historial, estado de mora, composición de la deuda, tasa de interés aplicable, eventuales cesiones de crédito y bases de datos en las que se encontrara informado como deudor. Impuso las costas a la demandada y reguló honorarios </w:t>
      </w:r>
      <w:r>
        <w:rPr>
          <w:color w:val="000000"/>
          <w:lang w:val="es-AR" w:eastAsia="es-AR" w:bidi="es-AR"/>
        </w:rPr>
        <w:t xml:space="preserve">de los letrados intervinientes, Dres. Aranda Oscar Alberto y Pascual Mariano</w:t>
      </w:r>
      <w:r>
        <w:rPr>
          <w:lang w:val="es-AR" w:eastAsia="es-AR" w:bidi="es-AR"/>
        </w:rPr>
        <w:t xml:space="preserve"> en 50 Jus para cada uno de ellos.</w:t>
      </w:r>
    </w:p>
    <w:p>
      <w:pPr>
        <w:pStyle w:val="[Normal]"/>
        <w:spacing w:line="360" w:lineRule="auto"/>
        <w:ind w:firstLine="1134"/>
        <w:jc w:val="both"/>
        <w:rPr>
          <w:lang w:val="es-AR" w:eastAsia="es-AR" w:bidi="es-AR"/>
        </w:rPr>
      </w:pPr>
      <w:r>
        <w:rPr>
          <w:lang w:val="es-AR" w:eastAsia="es-AR" w:bidi="es-AR"/>
        </w:rPr>
        <w:t xml:space="preserve">Disconforme con lo resuelto, interpuso recurso de apelación la demandada el día 18-12-2025, quien lo fundó en el mismo acto de su interposición, habiendo la parte actora contestado el traslado conferido en fecha 2-2-2026.-</w:t>
      </w:r>
    </w:p>
    <w:p>
      <w:pPr>
        <w:pStyle w:val="[Normal]"/>
        <w:spacing w:line="360" w:lineRule="auto"/>
        <w:ind w:firstLine="1134"/>
        <w:jc w:val="both"/>
        <w:rPr>
          <w:lang w:val="es-AR" w:eastAsia="es-AR" w:bidi="es-AR"/>
        </w:rPr>
      </w:pPr>
      <w:r>
        <w:rPr>
          <w:lang w:val="es-AR" w:eastAsia="es-AR" w:bidi="es-AR"/>
        </w:rPr>
        <w:t xml:space="preserve">Elevados los autos a esta Alzada, con fecha 26-2-2026 se dicta el llamamiento de autos para resolver, providencia que, firme a la fecha deja la causa en condiciones de ser fallada.-</w:t>
      </w:r>
    </w:p>
    <w:p>
      <w:pPr>
        <w:pStyle w:val="[Normal]"/>
        <w:spacing w:line="360" w:lineRule="auto"/>
        <w:ind w:firstLine="1134"/>
        <w:jc w:val="both"/>
        <w:rPr>
          <w:lang w:val="es-AR" w:eastAsia="es-AR" w:bidi="es-AR"/>
        </w:rPr>
      </w:pPr>
      <w:r>
        <w:rPr>
          <w:lang w:val="es-AR" w:eastAsia="es-AR" w:bidi="es-AR"/>
        </w:rPr>
        <w:t xml:space="preserve">La recurrente se agravia en lo sustancial, por considerar que no existió incumplimiento del deber de información, sosteniendo que el actor conocía la deuda en tanto reconoció la documentación acompañada (facturas, solicitud de servicio y estado de cuenta). Asimismo, cuestiona que se le exija informar la tasa de interés y las bases de datos crediticias, por entender que tales extremos no integrarían el deber legal. </w:t>
      </w:r>
    </w:p>
    <w:p>
      <w:pPr>
        <w:pStyle w:val="[Normal]"/>
        <w:spacing w:line="360" w:lineRule="auto"/>
        <w:ind w:firstLine="1134"/>
        <w:jc w:val="both"/>
        <w:rPr>
          <w:lang w:val="es-AR" w:eastAsia="es-AR" w:bidi="es-AR"/>
        </w:rPr>
      </w:pPr>
      <w:r>
        <w:rPr>
          <w:lang w:val="es-AR" w:eastAsia="es-AR" w:bidi="es-AR"/>
        </w:rPr>
        <w:t xml:space="preserve">Finalmente impugna la regulación de honorarios practicada en autos por considerarla excesiva en relación con la naturaleza del asunto, su complejidad y la extensión de las tareas desarrolladas, solicitando su reducción al mínimo legal.</w:t>
      </w:r>
    </w:p>
    <w:p>
      <w:pPr>
        <w:pStyle w:val="[Normal]"/>
        <w:spacing w:line="360" w:lineRule="auto"/>
        <w:ind w:firstLine="1134"/>
        <w:jc w:val="both"/>
        <w:rPr>
          <w:i/>
          <w:lang w:val="es-AR" w:eastAsia="es-AR" w:bidi="es-AR"/>
        </w:rPr>
      </w:pPr>
      <w:r>
        <w:rPr>
          <w:lang w:val="es-AR" w:eastAsia="es-AR" w:bidi="es-AR"/>
        </w:rPr>
        <w:t xml:space="preserve">Liminarmente he de conceptualizar normativamente la naturaleza de la pretensión deducida y para ello me remito a los conceptos vertidos en un precedente de este Tribunal en la causa 3789-19 caratulada "Marcovich Matias c/ Banco Santander Rio Sociedad Anónima s/ Habeas Data" RSD 76 /</w:t>
      </w:r>
      <w:r>
        <w:rPr>
          <w:color w:val="000000"/>
          <w:lang w:val="es-AR" w:eastAsia="es-AR" w:bidi="es-AR"/>
        </w:rPr>
        <w:t xml:space="preserve">2020 del </w:t>
      </w:r>
      <w:r>
        <w:rPr>
          <w:lang w:val="es-AR" w:eastAsia="es-AR" w:bidi="es-AR"/>
        </w:rPr>
        <w:t xml:space="preserve">23/06/2020,</w:t>
      </w:r>
      <w:r>
        <w:rPr>
          <w:b/>
          <w:lang w:val="es-AR" w:eastAsia="es-AR" w:bidi="es-AR"/>
        </w:rPr>
        <w:t xml:space="preserve"> </w:t>
      </w:r>
      <w:r>
        <w:rPr>
          <w:lang w:val="es-AR" w:eastAsia="es-AR" w:bidi="es-AR"/>
        </w:rPr>
        <w:t xml:space="preserve">donde se formularan  precisiones sobre el instituto que nos ocupa y aquí reitero, a saber: </w:t>
      </w:r>
      <w:r>
        <w:rPr>
          <w:i/>
          <w:lang w:val="es-AR" w:eastAsia="es-AR" w:bidi="es-AR"/>
        </w:rPr>
        <w:t xml:space="preserve">"La acción de hábeas data se encuentra contemplada en el  artículo 43 de la Constitución Nacional que expresamente establece "Toda persona puede interponer acción expedita y rápida de amparo, siempre que no exista otro medio judicial más idóneo" ... podrá interponer esta acción para tomar conocimiento de los datos a ella referidos y de su finalidad, que consten en registros o bancos de datos públicos, o los privados destinados a proveer informes, y en caso de falsedad o discriminación, para exigir la supresión, rectificación, confidencialidad o actualización de aquéllos". </w:t>
      </w:r>
    </w:p>
    <w:p>
      <w:pPr>
        <w:pStyle w:val="[Normal]"/>
        <w:spacing w:line="360" w:lineRule="auto"/>
        <w:ind w:firstLine="1134"/>
        <w:jc w:val="both"/>
        <w:rPr>
          <w:i/>
          <w:lang w:val="es-AR" w:eastAsia="es-AR" w:bidi="es-AR"/>
        </w:rPr>
      </w:pPr>
      <w:r>
        <w:rPr>
          <w:i/>
          <w:lang w:val="es-AR" w:eastAsia="es-AR" w:bidi="es-AR"/>
        </w:rPr>
        <w:t xml:space="preserve">La Constitución de la Provincia de Buenos Aires, a partir de la reforma del año 1994, otorgó jerarquía constitucional a la "Garantía del Habeas Data" -art. 20 inc. 3º- a través de la cual "toda persona podrá conocer lo que conste de la misma en forma de registro, archivo o banco de datos de organismos públicos o privados destinados a proveer informes, así como la finalidad a que se destine esa información, y a requerir su rectificación, actualización o cancelación...", dejando expresamente establecido que es una garantía operativa.</w:t>
      </w:r>
    </w:p>
    <w:p>
      <w:pPr>
        <w:pStyle w:val="[Normal]"/>
        <w:spacing w:line="360" w:lineRule="auto"/>
        <w:ind w:firstLine="1134"/>
        <w:jc w:val="both"/>
        <w:rPr>
          <w:i/>
          <w:lang w:val="es-AR" w:eastAsia="es-AR" w:bidi="es-AR"/>
        </w:rPr>
      </w:pPr>
      <w:r>
        <w:rPr>
          <w:i/>
          <w:lang w:val="es-AR" w:eastAsia="es-AR" w:bidi="es-AR"/>
        </w:rPr>
        <w:t xml:space="preserve">En ese marco, la ley 25.326 de "Protección de Datos Personales", cuyas normas son de orden público y de aplicación en lo pertinente en todo el territorio nacional -art. 44-, prescribe que la acción de hábeas data tramitará según las disposiciones de esa ley y por el procedimiento que corresponde a la acción de amparo común y supletoriamente por las normas del Código Procesal Civil y Comercial de la Nación, en lo atinente al juicio sumarísimo -art. 37-.</w:t>
      </w:r>
    </w:p>
    <w:p>
      <w:pPr>
        <w:pStyle w:val="[Normal]"/>
        <w:spacing w:line="360" w:lineRule="auto"/>
        <w:ind w:firstLine="1134"/>
        <w:jc w:val="both"/>
        <w:rPr>
          <w:i/>
          <w:lang w:val="es-AR" w:eastAsia="es-AR" w:bidi="es-AR"/>
        </w:rPr>
      </w:pPr>
      <w:r>
        <w:rPr>
          <w:i/>
          <w:lang w:val="es-AR" w:eastAsia="es-AR" w:bidi="es-AR"/>
        </w:rPr>
        <w:t xml:space="preserve">El Alto Tribunal Provincial al resolver cuestiones de competencia, dispuso que las acciones de hábeas data debían tramitar según las disposiciones de la ley 25.326 y por el procedimiento que corresponde a la acción de amparo (causa B. 68.253 "Licardi", res. 22-VI-05),  habiendo  señalado que "El régimen jurídico  articula una vía judicial rápida para la protección de los datos personales que guarda clara similitud con la acción de amparo, a tal punto que comparten el procedimiento a aplicar por lo que no corresponde apartarse en la especie de la doctrina que ha establecido este Tribunal para la determinación del órgano judicial competente para entender en la acción de amparo. Aquél remedio exhibe la identidad referida,  lo cual impone concluir que "cualquier juez" resulta competente para resolverlo, razón por la cual debe declararse que en este caso resulta competente aquel ante el cual se promovió la demanda." (SCBA LP B 69967 I 18/02/2009 B95981 -doctrina que fue posteriormente fue revisada en la causa "Ligresti" - B71258- Sentencia Interlocutoria del 18/4/2011 con motivo de la sanción de la ley 24241-).</w:t>
      </w:r>
    </w:p>
    <w:p>
      <w:pPr>
        <w:pStyle w:val="[Normal]"/>
        <w:spacing w:line="360" w:lineRule="auto"/>
        <w:ind w:firstLine="1134"/>
        <w:jc w:val="both"/>
        <w:rPr>
          <w:i/>
          <w:lang w:val="es-AR" w:eastAsia="es-AR" w:bidi="es-AR"/>
        </w:rPr>
      </w:pPr>
      <w:r>
        <w:rPr>
          <w:i/>
          <w:lang w:val="es-AR" w:eastAsia="es-AR" w:bidi="es-AR"/>
        </w:rPr>
        <w:t xml:space="preserve">Señalando el Alto Tribunal que "Sabido es que el tratamiento constitucional del amparo y del hábeas data -en el marco de esta última encuadra el derecho al acceso a la información cuya tutela se persigue en autos- se ubica en la misma norma tanto de la Constitución nacional cuanto de la provincial (arts. 43 y 20, respectivamente), pero no es menos cierto que esta última garantía ha sido definida como un "proceso constitucional autónomo" cuyo objeto preciso y concreto consiste básicamente en permitir al interesado conocer la información que conste de su persona tanto en organismos públicos o privados a fin de controlar su veracidad y el uso que de ella se haga -art. 20.3- -de la Constitución provincial-" (conf. Gozaíni, Osvaldo, "Habeas Data: Protección de datos personales", Rubinzal-Culzoni editores, 2003, págs. 386 y sigts.) (SCBA LP A 68993 S 03/12/2008).</w:t>
      </w:r>
    </w:p>
    <w:p>
      <w:pPr>
        <w:pStyle w:val="[Normal]"/>
        <w:spacing w:line="360" w:lineRule="auto"/>
        <w:ind w:firstLine="1134"/>
        <w:jc w:val="both"/>
        <w:rPr>
          <w:i/>
          <w:lang w:val="es-AR" w:eastAsia="es-AR" w:bidi="es-AR"/>
        </w:rPr>
      </w:pPr>
      <w:r>
        <w:rPr>
          <w:i/>
          <w:lang w:val="es-AR" w:eastAsia="es-AR" w:bidi="es-AR"/>
        </w:rPr>
        <w:t xml:space="preserve">La jurisprudencia consideró que "La sub especie de amparo , es un remedio muy específico y preciso que debe ser utilizado en situaciones extremas y delicadas y cuando no existan otros caminos aptos para resguardar la tutela de los derechos fundamentales"( CC0101 MP 139580 RSD-315-7 S 29/08/2007 JUBA B1352433 -ver texto del fallo-). Que "La garantía que se encuentra contemplada en el art. 20 inc. 3 de la Constitución Provincial, art. 4 tercer párrafo de la Constitución nacional , como así también en la ley 25326 de Protección de Datos personales cuyas normas son de orden público, comparte con el amparo el procedimiento aplicable a este en virtud de la ley mencionada" (CC0001 AZ 54228 RSI-15-10 I 08/02/2010 B1050850).</w:t>
      </w:r>
    </w:p>
    <w:p>
      <w:pPr>
        <w:pStyle w:val="[Normal]"/>
        <w:spacing w:line="360" w:lineRule="auto"/>
        <w:ind w:firstLine="1134"/>
        <w:jc w:val="both"/>
        <w:rPr>
          <w:i/>
          <w:lang w:val="es-AR" w:eastAsia="es-AR" w:bidi="es-AR"/>
        </w:rPr>
      </w:pPr>
      <w:r>
        <w:rPr>
          <w:i/>
          <w:lang w:val="es-AR" w:eastAsia="es-AR" w:bidi="es-AR"/>
        </w:rPr>
        <w:t xml:space="preserve">Con posterioridad la ley provincial N° 14214, sancionada el 2/12/2010 y publicada en el Boletín Oficial el 14-01-2011, reglamentó el proceso constitucional de hábeas data, estableció un procedimiento especial y rápido, al que resultan aplicables supletoriamente las normas del Código de Procedimiento Civil y Comercial en lo atinente al proceso sumarísimo (art. 8°).  Y aunque impuso la obligatoriedad del reclamo administrativo previo en su artículo 5°, estableciendo que la negativa o silencio del titular del banco de datos o registro dejará expedita la vía judicial -fijando como plazo para la contestar a las entidades privadas, cinco días, y a las públicas, quince días-, contempla como excepción a tal vía, que el pasaje por la misma produzca un perjuicio de imposible reparación ulterior. </w:t>
      </w:r>
    </w:p>
    <w:p>
      <w:pPr>
        <w:pStyle w:val="[Normal]"/>
        <w:spacing w:line="360" w:lineRule="auto"/>
        <w:ind w:firstLine="1134"/>
        <w:jc w:val="both"/>
        <w:rPr>
          <w:lang w:val="es-AR" w:eastAsia="es-AR" w:bidi="es-AR"/>
        </w:rPr>
      </w:pPr>
      <w:r>
        <w:rPr>
          <w:i/>
          <w:lang w:val="es-AR" w:eastAsia="es-AR" w:bidi="es-AR"/>
        </w:rPr>
        <w:t xml:space="preserve">Se advierte así que tanto la Constitución nacional como la Constitución provincial  privilegiaron el interés de la sociedad en que la persona tenga acceso inmediato a una vía rápida y expedita para la protección integral de los datos personales asentados en archivos, registros, bancos de datos, u otros medios técnicos de tratamiento de datos, sean éstos públicos, o privados destinados a dar informes, para garantizar los derechos constitucionales al honor y a la intimidad de las personas, así como también el acceso a la información que sobre las mismas se registre"</w:t>
      </w:r>
      <w:r>
        <w:rPr>
          <w:lang w:val="es-AR" w:eastAsia="es-AR" w:bidi="es-AR"/>
        </w:rPr>
        <w:t xml:space="preserve">. </w:t>
      </w:r>
    </w:p>
    <w:p>
      <w:pPr>
        <w:pStyle w:val="[Normal]"/>
        <w:spacing w:line="360" w:lineRule="auto"/>
        <w:ind w:firstLine="1134"/>
        <w:jc w:val="both"/>
        <w:rPr>
          <w:lang w:val="es-AR" w:eastAsia="es-AR" w:bidi="es-AR"/>
        </w:rPr>
      </w:pPr>
      <w:r>
        <w:rPr>
          <w:lang w:val="es-AR" w:eastAsia="es-AR" w:bidi="es-AR"/>
        </w:rPr>
        <w:t xml:space="preserve">Vale la pena reiterar estas directivas para dar cuenta de la especificidad del instituto y que ha sido recogido atinadamente por el aquo dentro de la subcategoría de hábeas data informativo con cita de doctrina.-</w:t>
      </w:r>
    </w:p>
    <w:p>
      <w:pPr>
        <w:pStyle w:val="[Normal]"/>
        <w:spacing w:line="360" w:lineRule="auto"/>
        <w:ind w:firstLine="1134"/>
        <w:jc w:val="both"/>
        <w:rPr>
          <w:lang w:val="es-AR" w:eastAsia="es-AR" w:bidi="es-AR"/>
        </w:rPr>
      </w:pPr>
      <w:r>
        <w:rPr>
          <w:lang w:val="es-AR" w:eastAsia="es-AR" w:bidi="es-AR"/>
        </w:rPr>
        <w:t xml:space="preserve">De las constancias de autos surge que la parte actora cursó a la demandada una intimación fehaciente mediante carta documento de fecha 13/03/2025, requiriendo información detallada respecto de los datos personales vinculados a una deuda registrada en bases de datos crediticias.</w:t>
      </w:r>
    </w:p>
    <w:p>
      <w:pPr>
        <w:pStyle w:val="[Normal]"/>
        <w:spacing w:line="360" w:lineRule="auto"/>
        <w:ind w:firstLine="1134"/>
        <w:jc w:val="both"/>
        <w:rPr>
          <w:lang w:val="es-AR" w:eastAsia="es-AR" w:bidi="es-AR"/>
        </w:rPr>
      </w:pPr>
      <w:r>
        <w:rPr>
          <w:lang w:val="es-AR" w:eastAsia="es-AR" w:bidi="es-AR"/>
        </w:rPr>
        <w:t xml:space="preserve">No se encuentra controvertido que dicha intimación fue recibida. Sin embargo, la accionada no acreditó haber brindado una respuesta que satisfaga en forma adecuada y completa el requerimiento efectuado.</w:t>
      </w:r>
    </w:p>
    <w:p>
      <w:pPr>
        <w:pStyle w:val="[Normal]"/>
        <w:spacing w:line="360" w:lineRule="auto"/>
        <w:ind w:firstLine="1134"/>
        <w:jc w:val="both"/>
        <w:rPr>
          <w:lang w:val="es-AR" w:eastAsia="es-AR" w:bidi="es-AR"/>
        </w:rPr>
      </w:pPr>
      <w:r>
        <w:rPr>
          <w:lang w:val="es-AR" w:eastAsia="es-AR" w:bidi="es-AR"/>
        </w:rPr>
        <w:t xml:space="preserve">En efecto, tal como lo señalara el juez de grado, la demandada omitió informar de manera concreta la tasa de interés aplicable y no individualizó las bases de datos crediticias en las que el actor se encontraba informado como deudor, extremos que integraban expresamente la solicitud.</w:t>
      </w:r>
    </w:p>
    <w:p>
      <w:pPr>
        <w:pStyle w:val="[Normal]"/>
        <w:spacing w:line="360" w:lineRule="auto"/>
        <w:ind w:firstLine="1134"/>
        <w:jc w:val="both"/>
        <w:rPr>
          <w:lang w:val="es-AR" w:eastAsia="es-AR" w:bidi="es-AR"/>
        </w:rPr>
      </w:pPr>
      <w:r>
        <w:rPr>
          <w:lang w:val="es-AR" w:eastAsia="es-AR" w:bidi="es-AR"/>
        </w:rPr>
        <w:t xml:space="preserve">En este contexto, no resulta suficiente -como pretende la recurrente- la mera invocación de la existencia de una deuda ni la remisión a documentación contractual o facturación previa, en tanto ello no satisface el estándar de información exigido por la normativa aplicable.</w:t>
      </w:r>
    </w:p>
    <w:p>
      <w:pPr>
        <w:pStyle w:val="[Normal]"/>
        <w:spacing w:line="360" w:lineRule="auto"/>
        <w:ind w:firstLine="1134"/>
        <w:jc w:val="both"/>
        <w:rPr>
          <w:lang w:val="es-AR" w:eastAsia="es-AR" w:bidi="es-AR"/>
        </w:rPr>
      </w:pPr>
      <w:r>
        <w:rPr>
          <w:lang w:val="es-AR" w:eastAsia="es-AR" w:bidi="es-AR"/>
        </w:rPr>
        <w:t xml:space="preserve">El argumento relativo al reconocimiento de la documentación por parte del actor tampoco resulta idóneo para desvirtuar el incumplimiento, pues el objeto del hábeas data no se agota en el conocimiento genérico de una deuda, sino que comprende el acceso a información precisa, actualizada y completa sobre los datos personales registrados y su tratamiento.</w:t>
      </w:r>
    </w:p>
    <w:p>
      <w:pPr>
        <w:pStyle w:val="[Normal]"/>
        <w:spacing w:line="360" w:lineRule="auto"/>
        <w:ind w:firstLine="1134"/>
        <w:jc w:val="both"/>
        <w:rPr>
          <w:lang w:val="es-AR" w:eastAsia="es-AR" w:bidi="es-AR"/>
        </w:rPr>
      </w:pPr>
      <w:r>
        <w:rPr>
          <w:lang w:val="es-AR" w:eastAsia="es-AR" w:bidi="es-AR"/>
        </w:rPr>
        <w:t xml:space="preserve">Por otra parte, del informe pericial surge la existencia de comunicaciones y gestiones de cobro anteriores (año 2022), las cuales no guardan relación directa con el requerimiento informativo efectuado en el año 2025. En consecuencia, tales antecedentes no acreditan el cumplimiento del deber de información en el momento en que éste fue exigido.</w:t>
      </w:r>
    </w:p>
    <w:p>
      <w:pPr>
        <w:pStyle w:val="[Normal]"/>
        <w:spacing w:line="360" w:lineRule="auto"/>
        <w:ind w:firstLine="1134"/>
        <w:jc w:val="both"/>
        <w:rPr>
          <w:lang w:val="es-AR" w:eastAsia="es-AR" w:bidi="es-AR"/>
        </w:rPr>
      </w:pPr>
      <w:r>
        <w:rPr>
          <w:lang w:val="es-AR" w:eastAsia="es-AR" w:bidi="es-AR"/>
        </w:rPr>
        <w:t xml:space="preserve">Así, la circunstancia de que hubieran existido intercambios previos entre las partes no releva a la demandada de su obligación de responder en forma adecuada al requerimiento fehaciente posterior.</w:t>
      </w:r>
    </w:p>
    <w:p>
      <w:pPr>
        <w:pStyle w:val="[Normal]"/>
        <w:spacing w:line="360" w:lineRule="auto"/>
        <w:ind w:firstLine="1134"/>
        <w:jc w:val="both"/>
        <w:rPr>
          <w:lang w:val="es-AR" w:eastAsia="es-AR" w:bidi="es-AR"/>
        </w:rPr>
      </w:pPr>
      <w:r>
        <w:rPr>
          <w:lang w:val="es-AR" w:eastAsia="es-AR" w:bidi="es-AR"/>
        </w:rPr>
        <w:t xml:space="preserve">En virtud de lo expuesto, los agravios de la apelante no logran conmover los fundamentos del decisorio recurrido, correspondiendo su confirmación en este aspecto.</w:t>
      </w:r>
    </w:p>
    <w:p>
      <w:pPr>
        <w:pStyle w:val="[Normal]"/>
        <w:spacing w:line="360" w:lineRule="auto"/>
        <w:ind w:firstLine="1134"/>
        <w:jc w:val="both"/>
        <w:rPr>
          <w:lang w:val="es-AR" w:eastAsia="es-AR" w:bidi="es-AR"/>
        </w:rPr>
      </w:pPr>
      <w:r>
        <w:rPr>
          <w:lang w:val="es-AR" w:eastAsia="es-AR" w:bidi="es-AR"/>
        </w:rPr>
        <w:t xml:space="preserve">Finalmente, he de adentrarme en el tratamiento de la queja traída por la demandada sobre los estipendios regulados a favor de ambos letrados por considerarlos altos.-</w:t>
      </w:r>
    </w:p>
    <w:p>
      <w:pPr>
        <w:pStyle w:val="[Normal]"/>
        <w:spacing w:line="360" w:lineRule="auto"/>
        <w:ind w:firstLine="1134"/>
        <w:jc w:val="both"/>
        <w:rPr>
          <w:lang w:val="es-AR" w:eastAsia="es-AR" w:bidi="es-AR"/>
        </w:rPr>
      </w:pPr>
      <w:r>
        <w:rPr>
          <w:lang w:val="es-AR" w:eastAsia="es-AR" w:bidi="es-AR"/>
        </w:rPr>
        <w:t xml:space="preserve">Dada la naturaleza del proceso (acción de hábeas data) corresponde aplicar lo dispuesto por el art. 49 de la Ley de Honorarios, el cual establece para este tipo de acciones un mínimo arancelario de 50 Jus, con prescindencia de que exista o no contenido económico.</w:t>
      </w:r>
    </w:p>
    <w:p>
      <w:pPr>
        <w:pStyle w:val="[Normal]"/>
        <w:spacing w:line="360" w:lineRule="auto"/>
        <w:ind w:firstLine="1134"/>
        <w:jc w:val="both"/>
        <w:rPr>
          <w:lang w:val="es-AR" w:eastAsia="es-AR" w:bidi="es-AR"/>
        </w:rPr>
      </w:pPr>
      <w:r>
        <w:rPr>
          <w:lang w:val="es-AR" w:eastAsia="es-AR" w:bidi="es-AR"/>
        </w:rPr>
        <w:t xml:space="preserve">Sin perjuicio de ello, dicha disposición debe armonizarse con lo previsto por el art. 22 del mismo cuerpo normativo, que fija un mínimo de 7 Jus para la regulación individual de los profesionales intervinientes.-</w:t>
      </w:r>
    </w:p>
    <w:p>
      <w:pPr>
        <w:pStyle w:val="[Normal]"/>
        <w:spacing w:line="360" w:lineRule="auto"/>
        <w:ind w:firstLine="1134"/>
        <w:jc w:val="both"/>
        <w:rPr>
          <w:lang w:val="es-AR" w:eastAsia="es-AR" w:bidi="es-AR"/>
        </w:rPr>
      </w:pPr>
      <w:r>
        <w:rPr>
          <w:lang w:val="es-AR" w:eastAsia="es-AR" w:bidi="es-AR"/>
        </w:rPr>
        <w:t xml:space="preserve">Al respecto de ha dicho, </w:t>
      </w:r>
      <w:r>
        <w:rPr>
          <w:i/>
          <w:lang w:val="es-AR" w:eastAsia="es-AR" w:bidi="es-AR"/>
        </w:rPr>
        <w:t xml:space="preserve">"...según nuestra opinión, nos inclinamos por la primera alternativa, es decir que tanto el porcentaje como el mínimo es para los letrados de cada parte, debiendo reconocerse una remuneración equivalente al mínimo a quien fue vencido (7 Jus) y una superior al vencedor, pues el art. 22 dice que la regulación del o de los profesionales de cada parte "no podrá ser inferior a siete (7) Jus", por ello la regulación puede ser por encima de ello."</w:t>
      </w:r>
      <w:r>
        <w:rPr>
          <w:lang w:val="es-AR" w:eastAsia="es-AR" w:bidi="es-AR"/>
        </w:rPr>
        <w:t xml:space="preserve"> (Ribera, Carlos Enrique; "Honorarios de abogados en la Provincia de Buenos Aires: comentario analítico de la ley 14.967", Ed. La Ley, Buenos Aires, 2020, comentario artículo 49).-</w:t>
      </w:r>
    </w:p>
    <w:p>
      <w:pPr>
        <w:pStyle w:val="[Normal]"/>
        <w:spacing w:line="360" w:lineRule="auto"/>
        <w:ind w:firstLine="1134"/>
        <w:jc w:val="both"/>
        <w:rPr>
          <w:lang w:val="es-AR" w:eastAsia="es-AR" w:bidi="es-AR"/>
        </w:rPr>
      </w:pPr>
      <w:r>
        <w:rPr>
          <w:lang w:val="es-AR" w:eastAsia="es-AR" w:bidi="es-AR"/>
        </w:rPr>
        <w:t xml:space="preserve">En el caso, el letrado Mariano Pascual al interponer el recurso solicitó expresamente la reducción de los honorarios regulados a su favor al mínimo legal. En atención a ello, corresponde hacer lugar parcialmente al agravio en este punto, fijando sus honorarios en la suma equivalente a 7 Jus de unidad arancelaria.-</w:t>
      </w:r>
    </w:p>
    <w:p>
      <w:pPr>
        <w:pStyle w:val="[Normal]"/>
        <w:spacing w:line="360" w:lineRule="auto"/>
        <w:ind w:firstLine="1134"/>
        <w:jc w:val="both"/>
        <w:rPr>
          <w:color w:val="000000"/>
          <w:lang w:val="es-AR" w:eastAsia="es-AR" w:bidi="es-AR"/>
        </w:rPr>
      </w:pPr>
      <w:r>
        <w:rPr>
          <w:color w:val="000000"/>
          <w:lang w:val="es-AR" w:eastAsia="es-AR" w:bidi="es-AR"/>
        </w:rPr>
        <w:t xml:space="preserve">Distinta solución corresponde respecto de los honorarios regulados a favor del Dr. Oscar Alberto Aranda.-</w:t>
      </w:r>
    </w:p>
    <w:p>
      <w:pPr>
        <w:pStyle w:val="[Normal]"/>
        <w:spacing w:line="360" w:lineRule="auto"/>
        <w:ind w:firstLine="1134"/>
        <w:jc w:val="both"/>
        <w:rPr>
          <w:color w:val="000000"/>
          <w:lang w:val="es-AR" w:eastAsia="es-AR" w:bidi="es-AR"/>
        </w:rPr>
      </w:pPr>
      <w:r>
        <w:rPr>
          <w:color w:val="000000"/>
          <w:lang w:val="es-AR" w:eastAsia="es-AR" w:bidi="es-AR"/>
        </w:rPr>
        <w:t xml:space="preserve">En tal sentido, corresponde ponderar la naturaleza del proceso, la calidad jurídica de la labor desarrollada, las actuaciones esenciales cumplidas, el resultado obtenido -favorable a la parte patrocinada- y la incidencia efectiva de la actividad profesional en la resolución del litigio.</w:t>
      </w:r>
    </w:p>
    <w:p>
      <w:pPr>
        <w:pStyle w:val="[Normal]"/>
        <w:spacing w:line="360" w:lineRule="auto"/>
        <w:ind w:firstLine="1134"/>
        <w:jc w:val="both"/>
        <w:rPr>
          <w:color w:val="000000"/>
          <w:lang w:val="es-AR" w:eastAsia="es-AR" w:bidi="es-AR"/>
        </w:rPr>
      </w:pPr>
      <w:r>
        <w:rPr>
          <w:color w:val="000000"/>
          <w:lang w:val="es-AR" w:eastAsia="es-AR" w:bidi="es-AR"/>
        </w:rPr>
        <w:t xml:space="preserve">Bajo tales parámetros, se advierte que la labor desplegada por el Dr. Aranda excede notoriamente el mínimo legal, en tanto asumió la dirección técnica de la parte actora, promovió la acción, impulsó el proceso y obtuvo un pronunciamiento íntegramente favorable en la instancia de origen.</w:t>
      </w:r>
    </w:p>
    <w:p>
      <w:pPr>
        <w:pStyle w:val="[Normal]"/>
        <w:spacing w:line="360" w:lineRule="auto"/>
        <w:ind w:firstLine="1134"/>
        <w:jc w:val="both"/>
        <w:rPr>
          <w:lang w:val="es-AR" w:eastAsia="es-AR" w:bidi="es-AR"/>
        </w:rPr>
      </w:pPr>
      <w:r>
        <w:rPr>
          <w:color w:val="000000"/>
          <w:lang w:val="es-AR" w:eastAsia="es-AR" w:bidi="es-AR"/>
        </w:rPr>
        <w:t xml:space="preserve">En consecuencia, no se configuran razones que justifiquen apartarse del monto fijado por el juez de grado, el que se aprecia adecuado y razonable conforme a las pautas legales aplicables, debiendo confirmarse en la suma equivalente a 50 Jus (art. 49 Ley 14.967).</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b/>
          <w:lang w:val="es-AR" w:eastAsia="es-AR" w:bidi="es-AR"/>
        </w:rPr>
        <w:t xml:space="preserve">VOTO POR LA AFIRMATIVA.-</w:t>
      </w:r>
    </w:p>
    <w:p>
      <w:pPr>
        <w:pStyle w:val="[Normal]"/>
        <w:spacing w:line="360" w:lineRule="auto"/>
        <w:ind w:firstLine="1134"/>
        <w:jc w:val="both"/>
        <w:rPr>
          <w:lang w:val="es-AR" w:eastAsia="es-AR" w:bidi="es-AR"/>
        </w:rPr>
      </w:pPr>
      <w:r>
        <w:rPr>
          <w:lang w:val="es-AR" w:eastAsia="es-AR" w:bidi="es-AR"/>
        </w:rPr>
        <w:t xml:space="preserve">A la misma cuestión el señor Juez Roberto Degleue por análogos fundamentos votó en el mismo sentido.-</w:t>
      </w:r>
    </w:p>
    <w:p>
      <w:pPr>
        <w:pStyle w:val="[Normal]"/>
        <w:spacing w:line="360" w:lineRule="auto"/>
        <w:ind w:firstLine="1134"/>
        <w:jc w:val="both"/>
        <w:rPr>
          <w:lang w:val="es-AR" w:eastAsia="es-AR" w:bidi="es-AR"/>
        </w:rPr>
      </w:pPr>
      <w:r>
        <w:rPr>
          <w:lang w:val="es-AR" w:eastAsia="es-AR" w:bidi="es-AR"/>
        </w:rPr>
        <w:t xml:space="preserve">A la segunda cuestión la señora Jueza Graciela Scaraffia dijo: De conformidad al resultado habido al tratarse la cuestión precedente, estimo que el pronunciamiento que corresponde dictar es: </w:t>
      </w:r>
    </w:p>
    <w:p>
      <w:pPr>
        <w:pStyle w:val="[Normal]"/>
        <w:spacing w:line="360" w:lineRule="auto"/>
        <w:ind w:firstLine="1134"/>
        <w:jc w:val="both"/>
        <w:rPr>
          <w:lang w:val="es-AR" w:eastAsia="es-AR" w:bidi="es-AR"/>
        </w:rPr>
      </w:pPr>
      <w:r>
        <w:rPr>
          <w:lang w:val="es-AR" w:eastAsia="es-AR" w:bidi="es-AR"/>
        </w:rPr>
        <w:t xml:space="preserve">Hacer lugar parcialmente al recurso de apelación deducido por la parte demandada únicamente en cuanto a la regulación de honorarios del Dr. Mariano Pascual, los que se fijan en la suma equivalente a 7 Jus arancelarios. Confirmar en todo lo demás el fallo apelado.</w:t>
      </w:r>
    </w:p>
    <w:p>
      <w:pPr>
        <w:pStyle w:val="[Normal]"/>
        <w:spacing w:line="360" w:lineRule="auto"/>
        <w:ind w:firstLine="1134"/>
        <w:jc w:val="both"/>
        <w:rPr>
          <w:lang w:val="es-AR" w:eastAsia="es-AR" w:bidi="es-AR"/>
        </w:rPr>
      </w:pPr>
      <w:r>
        <w:rPr>
          <w:lang w:val="es-AR" w:eastAsia="es-AR" w:bidi="es-AR"/>
        </w:rPr>
        <w:t xml:space="preserve">Imponer costas de Alzada a la apelante vencida (Art 68/9 CPCC).-</w:t>
      </w:r>
    </w:p>
    <w:p>
      <w:pPr>
        <w:pStyle w:val="[Normal]"/>
        <w:spacing w:line="360" w:lineRule="auto"/>
        <w:ind w:firstLine="1134"/>
        <w:jc w:val="both"/>
        <w:rPr>
          <w:lang w:val="es-AR" w:eastAsia="es-AR" w:bidi="es-AR"/>
        </w:rPr>
      </w:pPr>
      <w:r>
        <w:rPr>
          <w:lang w:val="es-AR" w:eastAsia="es-AR" w:bidi="es-AR"/>
        </w:rPr>
        <w:t xml:space="preserve">Regular los honorarios de los Dres. Oscar Alberto Aranda y Mariano Pascual por las tareas realizadas en esta sede teniendo en cuenta el memorial presentado en fecha 18/12/2025, la contestación del 2/2/2026, así como el valor y mérito de la labor desarrollada y el resultado obtenido, en la suma equivalente a 15 jus y 2 jus de unidad arancelaria, respectivamente (Arts. 15, 16, 24, 31 y concs. de la ley 14.967).-</w:t>
      </w:r>
    </w:p>
    <w:p>
      <w:pPr>
        <w:pStyle w:val="[Normal]"/>
        <w:spacing w:line="360" w:lineRule="auto"/>
        <w:ind w:firstLine="1134"/>
        <w:jc w:val="both"/>
        <w:rPr>
          <w:lang w:val="es-AR" w:eastAsia="es-AR" w:bidi="es-AR"/>
        </w:rPr>
      </w:pPr>
      <w:r>
        <w:rPr>
          <w:b/>
          <w:lang w:val="es-AR" w:eastAsia="es-AR" w:bidi="es-AR"/>
        </w:rPr>
        <w:t xml:space="preserve">ASI LO VOTO. </w:t>
      </w:r>
    </w:p>
    <w:p>
      <w:pPr>
        <w:pStyle w:val="[Normal]"/>
        <w:spacing w:line="360" w:lineRule="auto"/>
        <w:ind w:firstLine="1134"/>
        <w:jc w:val="both"/>
        <w:rPr>
          <w:lang w:val="es-AR" w:eastAsia="es-AR" w:bidi="es-AR"/>
        </w:rPr>
      </w:pPr>
      <w:r>
        <w:rPr>
          <w:lang w:val="es-AR" w:eastAsia="es-AR" w:bidi="es-AR"/>
        </w:rPr>
        <w:t xml:space="preserve">A la misma cuestión el señor Juez Roberto Degleue por análogos fundamentos votó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b/>
          <w:u w:val="single"/>
          <w:lang w:val="es-AR" w:eastAsia="es-AR" w:bidi="es-AR"/>
        </w:rPr>
      </w:pPr>
      <w:r>
        <w:rPr>
          <w:b/>
          <w:u w:val="single"/>
          <w:lang w:val="es-AR" w:eastAsia="es-AR" w:bidi="es-AR"/>
        </w:rPr>
        <w:t xml:space="preserve">S E N T E N C I A</w:t>
      </w:r>
      <w:r>
        <w:rPr>
          <w:u w:val="single"/>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Hacer lugar parcialmente al recurso de apelación deducido por la parte demandada únicamente en cuanto a la regulación de honorarios del Dr. Mariano Pascual, los que se fijan en la suma equivalente a 7 Jus arancelarios. Confirmar en todo lo demás el fallo apelado.</w:t>
      </w:r>
    </w:p>
    <w:p>
      <w:pPr>
        <w:pStyle w:val="[Normal]"/>
        <w:spacing w:line="360" w:lineRule="auto"/>
        <w:ind w:firstLine="1134"/>
        <w:jc w:val="both"/>
        <w:rPr>
          <w:lang w:val="es-AR" w:eastAsia="es-AR" w:bidi="es-AR"/>
        </w:rPr>
      </w:pPr>
      <w:r>
        <w:rPr>
          <w:lang w:val="es-AR" w:eastAsia="es-AR" w:bidi="es-AR"/>
        </w:rPr>
        <w:t xml:space="preserve">Imponer costas de Alzada a la apelante vencida (Art 68/9 CPCC).-</w:t>
      </w:r>
    </w:p>
    <w:p>
      <w:pPr>
        <w:pStyle w:val="[Normal]"/>
        <w:spacing w:line="360" w:lineRule="auto"/>
        <w:ind w:firstLine="1134"/>
        <w:jc w:val="both"/>
        <w:rPr>
          <w:lang w:val="es-AR" w:eastAsia="es-AR" w:bidi="es-AR"/>
        </w:rPr>
      </w:pPr>
      <w:r>
        <w:rPr>
          <w:lang w:val="es-AR" w:eastAsia="es-AR" w:bidi="es-AR"/>
        </w:rPr>
        <w:t xml:space="preserve">Regular los honorarios de los Dres. Oscar Alberto Aranda y Mariano Pascual por las tareas realizadas en esta sede, teniendo en cuenta el memorial presentado en fecha 18/12/2025, la contestación del 2/2/2026, así como el valor y mérito de la labor desarrollada y el resultado obtenido, en la suma equivalente a 15 jus y 2 jus de unidad arancelaria, respectivamente (Arts. 15, 16, 24, 31 y concs. de la ley 14.967).-</w:t>
      </w:r>
    </w:p>
    <w:p>
      <w:pPr>
        <w:pStyle w:val="[Normal]"/>
        <w:spacing w:line="360" w:lineRule="auto"/>
        <w:ind w:firstLine="1134"/>
        <w:jc w:val="both"/>
        <w:rPr>
          <w:sz w:val="20"/>
          <w:lang w:val="es-AR" w:eastAsia="es-AR" w:bidi="es-AR"/>
        </w:rPr>
      </w:pPr>
      <w:r>
        <w:rPr>
          <w:lang w:val="es-AR" w:eastAsia="es-AR" w:bidi="es-AR"/>
        </w:rPr>
        <w:t xml:space="preserve">Regístrese. Notifíquese por Secretaría (Ac. 4013 y mod. SCBA) remitiéndose copia digital de la presente sentencia a los domicilios electrónicos de las respectivas partes. Devuélvase</w:t>
      </w:r>
      <w:r>
        <w:rPr>
          <w:sz w:val="20"/>
          <w:lang w:val="es-AR" w:eastAsia="es-AR" w:bidi="es-AR"/>
        </w:rPr>
        <w:t xml:space="preserve">.-</w:t>
      </w:r>
    </w:p>
    <w:p>
      <w:pPr>
        <w:pStyle w:val="[Normal]"/>
        <w:spacing w:line="360" w:lineRule="auto"/>
        <w:ind w:firstLine="1134"/>
        <w:jc w:val="both"/>
        <w:rPr>
          <w:color w:val="000000"/>
          <w:sz w:val="22"/>
          <w:lang w:val="es-AR" w:eastAsia="es-AR" w:bidi="es-AR"/>
        </w:rPr>
      </w:pPr>
      <w:r>
        <w:rPr>
          <w:b/>
          <w:color w:val="000000"/>
          <w:sz w:val="22"/>
          <w:lang w:val="es-AR" w:eastAsia="es-AR" w:bidi="es-AR"/>
        </w:rPr>
        <w:t xml:space="preserve">LEY 14.967 - ART. 54</w:t>
      </w:r>
      <w:r>
        <w:rPr>
          <w:color w:val="000000"/>
          <w:sz w:val="22"/>
          <w:lang w:val="es-AR" w:eastAsia="es-AR" w:bidi="es-AR"/>
        </w:rPr>
        <w:t xml:space="preserve">: Las providencias que regulen honorarios deberán ser notificadas personalmente, por cédula a sus beneficiarios, al mandante o patrocinado y al condenado en costas, si lo hubiere. Asimismo, será válida la notificación de la regulación de honorarios efectuada por cualquier otro medio fehaciente, a costa del interesado. Los honorarios a cargo del mandante o patrocinado quedarán firmes a su respecto si la notificación se hubiere practicado en su domicilio real y a la contraparte en su domicilio constituido. Habiendo cesado el patrocinio o apoderamiento y constituido el ex cliente nuevo domicilio, la notificación de honorarios a éste podrá ser efectuada en este último domicilio. En todos los casos, bajo pena de nulidad, en el instrumento de notificación que se utilice para ello, deberá transcribirse este artículo. Los honorarios regulados por trabajos judiciales deberán abonarse dentro de los diez (10) días de haber quedado firme el auto regulatorio. Los honorarios por trabajos extrajudiciales se abonarán dentro de los diez (10) días de intimado su pago, cuando sean exigibles. Operada la mora, el profesional podrá optar por: a) reclamar los honorarios expresados en la unidad arancelaria Jus prevista en esta ley, con más un interés del 12% anual. b) reclamar los honorarios regulados convertidos al momento de la mora en moneda de curso legal, con más el interés previsto en el artículo 552 del Código Civil y Comercial de la Nación.-</w:t>
      </w:r>
      <w:r>
        <w:rPr>
          <w:color w:val="000000"/>
          <w:sz w:val="22"/>
          <w:lang w:val="es-AR" w:eastAsia="es-AR" w:bidi="es-AR"/>
        </w:rPr>
        <w:t xml:space="preserve"> </w:t>
      </w:r>
    </w:p>
    <w:p>
      <w:pPr>
        <w:pStyle w:val="[Normal]"/>
        <w:spacing w:line="480" w:lineRule="auto"/>
        <w:ind w:firstLine="1134"/>
        <w:jc w:val="both"/>
        <w:rPr>
          <w:lang w:val="es-AR" w:eastAsia="es-AR" w:bidi="es-AR"/>
        </w:rPr>
      </w:pPr>
      <w:r>
        <w:rPr>
          <w:lang w:val="es-AR" w:eastAsia="es-AR" w:bidi="es-AR"/>
        </w:rPr>
        <w:br w:type="textWrapping"/>
      </w:r>
      <w:r>
        <w:rPr>
          <w:lang w:val="es-AR" w:eastAsia="es-AR" w:bidi="es-AR"/>
        </w:rPr>
        <w:t xml:space="preserve"> </w:t>
      </w:r>
      <w:r>
        <w:rPr>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Domicilio Electrónico: 20321956646@NOTIFICACIONES.SCBA.GOV.AR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Domicilio Electrónico: 20261222486@NOTIFICACIONES.SCBA.GOV.AR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31/03/2026 10:13:19 -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31/03/2026 10:34:46 - DEGLEUE Roberto Manuel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31/03/2026 10:37:11 - PELUSA Juan Cruz - AUXILIAR LETRADO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lang w:val="es-AR" w:eastAsia="es-AR" w:bidi="es-AR"/>
        </w:rPr>
      </w:pPr>
      <w:r>
        <w:rPr>
          <w:rFonts w:ascii="BarCode 128" w:hAnsi="BarCode 128" w:eastAsia="BarCode 128" w:cs="BarCode 128"/>
          <w:sz w:val="60"/>
          <w:lang w:val="es-AR" w:eastAsia="es-AR" w:bidi="es-AR"/>
        </w:rPr>
        <w:t xml:space="preserve">‰8D")è&amp;tVi†Š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lang w:val="es-AR" w:eastAsia="es-AR" w:bidi="es-AR"/>
        </w:rPr>
      </w:pPr>
      <w:r>
        <w:rPr>
          <w:sz w:val="20"/>
          <w:lang w:val="es-AR" w:eastAsia="es-AR" w:bidi="es-AR"/>
        </w:rPr>
        <w:t xml:space="preserve">243602090006845473</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lang w:val="es-AR" w:eastAsia="es-AR" w:bidi="es-AR"/>
        </w:rPr>
        <w:t xml:space="preserve">CAMARA DE APELACION EN LO CIVIL Y COMERCIAL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NO CONTIENE ARCHIVOS ADJUNTOS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Registrado en REGISTRO DE SENTENCIAS el 31/03/2026 10:37:34 hs. bajo el número RS-39-2026 por PELUSA JUAN.</w:t>
        <w:br w:type="textWrapping"/>
      </w:r>
      <w:r>
        <w:rPr>
          <w:lang w:val="es-AR" w:eastAsia="es-AR" w:bidi="es-AR"/>
        </w:rPr>
        <w:t xml:space="preserve">Registrado en REGISTRO DE REGULACIONES DE HONORARIOS el 31/03/2026 10:37:43 hs. bajo el número RH-23-2026 por PELUSA JUAN.</w:t>
      </w:r>
    </w:p>
    <w:p>
      <w:pPr>
        <w:pStyle w:val="[Normal]"/>
        <w:rPr>
          <w:lang w:val="es-AR" w:eastAsia="es-AR" w:bidi="es-AR"/>
        </w:rPr>
      </w:pPr>
    </w:p>
    <w:sectPr>
      <w:pgSz w:w="11906" w:h="16832"/>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BarCode 128">
    <w:charset w:val="00"/>
    <w:family w:val="auto"/>
    <w:pitch w:val="variable"/>
  </w:font>
</w:fonts>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3" Type="http://schemas.openxmlformats.org/officeDocument/2006/relationships/fontTable" Target="fontTable.xml"/>
	<Relationship Id="rId00004" Type="http://schemas.openxmlformats.org/officeDocument/2006/relationships/settings" Target="settings.xml"/>
</Relationships>
</file>