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5944-25</w:t>
      </w:r>
      <w:r>
        <w:rPr>
          <w:lang w:val="es-AR" w:eastAsia="es-AR" w:bidi="es-AR"/>
        </w:rPr>
        <w:t xml:space="preserve"> caratulada </w:t>
      </w:r>
      <w:r>
        <w:rPr>
          <w:b/>
          <w:lang w:val="es-AR" w:eastAsia="es-AR" w:bidi="es-AR"/>
        </w:rPr>
        <w:t xml:space="preserve">"</w:t>
      </w:r>
      <w:r>
        <w:rPr>
          <w:b/>
          <w:color w:val="000000"/>
          <w:lang w:val="es-AR" w:eastAsia="es-AR" w:bidi="es-AR"/>
        </w:rPr>
        <w:t xml:space="preserve">TOCALINI CRISTIAN HECTOR SEBASTIAN C/ GRAZIANI FACUNDO DANIEL Y OTROS S/ DAÑOS Y PERJ.AUTOM. C/LES. O MUERTE (EXC.ESTADO)</w:t>
      </w:r>
      <w:r>
        <w:rPr>
          <w:b/>
          <w:lang w:val="es-AR" w:eastAsia="es-AR" w:bidi="es-AR"/>
        </w:rPr>
        <w:t xml:space="preserve">"</w:t>
      </w:r>
      <w:r>
        <w:rPr>
          <w:lang w:val="es-AR" w:eastAsia="es-AR" w:bidi="es-AR"/>
        </w:rPr>
        <w:t xml:space="preserve">, Expte. </w:t>
      </w:r>
      <w:r>
        <w:rPr>
          <w:color w:val="000000"/>
          <w:lang w:val="es-AR" w:eastAsia="es-AR" w:bidi="es-AR"/>
        </w:rPr>
        <w:t xml:space="preserve">89.669</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I. La Sra. Jueza de la instancia anterior homologó el acuerdo agregado por las partes, con costas a cargo de la citada en garantía. </w:t>
      </w:r>
    </w:p>
    <w:p>
      <w:pPr>
        <w:pStyle w:val="[Normal]"/>
        <w:spacing w:line="360" w:lineRule="auto"/>
        <w:ind w:firstLine="1134"/>
        <w:jc w:val="both"/>
        <w:rPr>
          <w:lang w:val="es-AR" w:eastAsia="es-AR" w:bidi="es-AR"/>
        </w:rPr>
      </w:pPr>
      <w:r>
        <w:rPr>
          <w:lang w:val="es-AR" w:eastAsia="es-AR" w:bidi="es-AR"/>
        </w:rPr>
        <w:t xml:space="preserve">En otro orden, reguló los honorarios profesionales de los letrados intervinientes Dres. Yamil Mascali (17,56 jus) y Ricardo Labaronnie (7 jus, mínimo requerido), por las tareas de autos, e hizo lo propio en relación al Perito Oficial Médico Traumatólogo ($76.000). Además determinó los honorarios del mediador designado en autos, Dr. Nicolás Carunchio, por su labor desarrollada en la etapa previa en la suma equivalente a 13,04 jus de unidad arancelaria.</w:t>
      </w:r>
    </w:p>
    <w:p>
      <w:pPr>
        <w:pStyle w:val="[Normal]"/>
        <w:spacing w:line="360" w:lineRule="auto"/>
        <w:ind w:firstLine="1134"/>
        <w:jc w:val="both"/>
        <w:rPr>
          <w:lang w:val="es-AR" w:eastAsia="es-AR" w:bidi="es-AR"/>
        </w:rPr>
      </w:pPr>
      <w:r>
        <w:rPr>
          <w:lang w:val="es-AR" w:eastAsia="es-AR" w:bidi="es-AR"/>
        </w:rPr>
        <w:t xml:space="preserve">Lo decidido fue apelado por la citada en garantía el 23/9/25, quien fundó tal recurso en fecha 29/9/25, el que quedara incontestado por la mediadora.</w:t>
      </w:r>
    </w:p>
    <w:p>
      <w:pPr>
        <w:pStyle w:val="[Normal]"/>
        <w:spacing w:line="360" w:lineRule="auto"/>
        <w:ind w:firstLine="1134"/>
        <w:jc w:val="both"/>
        <w:rPr>
          <w:lang w:val="es-AR" w:eastAsia="es-AR" w:bidi="es-AR"/>
        </w:rPr>
      </w:pPr>
      <w:r>
        <w:rPr>
          <w:lang w:val="es-AR" w:eastAsia="es-AR" w:bidi="es-AR"/>
        </w:rPr>
        <w:t xml:space="preserve">Arribada la causa a éste Tribunal el 18/12/25 se llama a autos para resolver, providencia que firme a la fecha deja el expediente en condiciones de ser resuelto.</w:t>
      </w:r>
    </w:p>
    <w:p>
      <w:pPr>
        <w:pStyle w:val="[Normal]"/>
        <w:spacing w:line="360" w:lineRule="auto"/>
        <w:ind w:firstLine="1134"/>
        <w:jc w:val="both"/>
        <w:rPr>
          <w:lang w:val="es-AR" w:eastAsia="es-AR" w:bidi="es-AR"/>
        </w:rPr>
      </w:pPr>
      <w:r>
        <w:rPr>
          <w:u w:val="single"/>
          <w:lang w:val="es-AR" w:eastAsia="es-AR" w:bidi="es-AR"/>
        </w:rPr>
        <w:t xml:space="preserve">II. Agravios de la Apelante</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Cuestiona la regulación de honorarios del mediador prejudicial, aduciendo que resultan excesivos y desproporcionados en relación con el monto del acuerdo alcanzado ($3.800.000), que representan más del 10% del mismo.</w:t>
      </w:r>
    </w:p>
    <w:p>
      <w:pPr>
        <w:pStyle w:val="[Normal]"/>
        <w:spacing w:line="360" w:lineRule="auto"/>
        <w:ind w:firstLine="1134"/>
        <w:jc w:val="both"/>
        <w:rPr>
          <w:lang w:val="es-AR" w:eastAsia="es-AR" w:bidi="es-AR"/>
        </w:rPr>
      </w:pPr>
      <w:r>
        <w:rPr>
          <w:lang w:val="es-AR" w:eastAsia="es-AR" w:bidi="es-AR"/>
        </w:rPr>
        <w:t xml:space="preserve">Afirma que la intervención del mediador se limitó a una sola audiencia de corta duración, sin implicar labores jurídicas complejas, estrategias o responsabilidad significativa, lo que evidencia una desproporción entre la retribución fijada y la labor efectivamente realizada.</w:t>
      </w:r>
    </w:p>
    <w:p>
      <w:pPr>
        <w:pStyle w:val="[Normal]"/>
        <w:spacing w:line="360" w:lineRule="auto"/>
        <w:ind w:firstLine="1134"/>
        <w:jc w:val="both"/>
        <w:rPr>
          <w:lang w:val="es-AR" w:eastAsia="es-AR" w:bidi="es-AR"/>
        </w:rPr>
      </w:pPr>
      <w:r>
        <w:rPr>
          <w:lang w:val="es-AR" w:eastAsia="es-AR" w:bidi="es-AR"/>
        </w:rPr>
        <w:t xml:space="preserve">Expone que la Corte Suprema de Justicia de la Nación ha señalado que para la impugnación constitucional de la regulación de honorarios se requiere que ésta sea irrazonable o arbitraria, debiendo guardar adecuada proporción con la labor realizada y la cuantía de los intereses debatidos (CSJN, “Bertani”; “Iturraspe”; “Lemme”).</w:t>
      </w:r>
    </w:p>
    <w:p>
      <w:pPr>
        <w:pStyle w:val="[Normal]"/>
        <w:spacing w:line="360" w:lineRule="auto"/>
        <w:ind w:firstLine="1134"/>
        <w:jc w:val="both"/>
        <w:rPr>
          <w:lang w:val="es-AR" w:eastAsia="es-AR" w:bidi="es-AR"/>
        </w:rPr>
      </w:pPr>
      <w:r>
        <w:rPr>
          <w:lang w:val="es-AR" w:eastAsia="es-AR" w:bidi="es-AR"/>
        </w:rPr>
        <w:t xml:space="preserve">Agrega que conforme el Art. 16 de la Ley 14.967, la regulación de honorarios debe considerar el monto del asunto, la complejidad, la responsabilidad, el resultado obtenido y el tiempo empleado; principios que no fueron observados al fijar los emolumentos del mediador, limitándose únicamente al monto del acuerdo.</w:t>
      </w:r>
    </w:p>
    <w:p>
      <w:pPr>
        <w:pStyle w:val="[Normal]"/>
        <w:spacing w:line="360" w:lineRule="auto"/>
        <w:ind w:firstLine="1134"/>
        <w:jc w:val="both"/>
        <w:rPr>
          <w:lang w:val="es-AR" w:eastAsia="es-AR" w:bidi="es-AR"/>
        </w:rPr>
      </w:pPr>
      <w:r>
        <w:rPr>
          <w:lang w:val="es-AR" w:eastAsia="es-AR" w:bidi="es-AR"/>
        </w:rPr>
        <w:t xml:space="preserve">Sostiene que la regulación cuestionada excede los límites previstos por el Art. 730 del Código Civil y Comercial de la Nación, que establece que el pago de costas no debe superar el 25% del monto del juicio, lo que evidencia una afectación al principio de proporcionalidad y al acceso a la justicia.</w:t>
      </w:r>
    </w:p>
    <w:p>
      <w:pPr>
        <w:pStyle w:val="[Normal]"/>
        <w:spacing w:line="360" w:lineRule="auto"/>
        <w:ind w:firstLine="1134"/>
        <w:jc w:val="both"/>
        <w:rPr>
          <w:b/>
          <w:lang w:val="es-AR" w:eastAsia="es-AR" w:bidi="es-AR"/>
        </w:rPr>
      </w:pPr>
      <w:r>
        <w:rPr>
          <w:lang w:val="es-AR" w:eastAsia="es-AR" w:bidi="es-AR"/>
        </w:rPr>
        <w:t xml:space="preserve">Además advierte una inequidad relativa entre los honorarios del mediador y los de los profesionales que intervinieron en el proceso judicial, siendo estos últimos quienes realizaron labores más extensas y complejas, en tanto el mediador recibió una suma desproporcionada por su intervención limitada.</w:t>
      </w:r>
    </w:p>
    <w:p>
      <w:pPr>
        <w:pStyle w:val="[Normal]"/>
        <w:spacing w:line="360" w:lineRule="auto"/>
        <w:ind w:firstLine="1134"/>
        <w:jc w:val="both"/>
        <w:rPr>
          <w:lang w:val="es-AR" w:eastAsia="es-AR" w:bidi="es-AR"/>
        </w:rPr>
      </w:pPr>
      <w:r>
        <w:rPr>
          <w:lang w:val="es-AR" w:eastAsia="es-AR" w:bidi="es-AR"/>
        </w:rPr>
        <w:t xml:space="preserve">Por todo lo expuesto, solicita se reduzcan los honorarios del mediador de manera proporcional al valor del litigio, a la importancia y eficacia de la labor efectivamente realizada; en su caso, se declare la inconstitucionalidad de las normas provinciales que fundamentaron la regulación; y, alternativamente, se haga uso de la facultad morigeradora prevista en el Art. 1255 del CCCN.</w:t>
      </w:r>
    </w:p>
    <w:p>
      <w:pPr>
        <w:pStyle w:val="[Normal]"/>
        <w:spacing w:line="360" w:lineRule="auto"/>
        <w:ind w:firstLine="1134"/>
        <w:jc w:val="both"/>
        <w:rPr>
          <w:b/>
          <w:lang w:val="es-AR" w:eastAsia="es-AR" w:bidi="es-AR"/>
        </w:rPr>
      </w:pPr>
      <w:r>
        <w:rPr>
          <w:lang w:val="es-AR" w:eastAsia="es-AR" w:bidi="es-AR"/>
        </w:rPr>
        <w:t xml:space="preserve">III. Liminarmente, ha de recordarse que éste Tribunal en reiteradas oportunidades en análogos cuestionamientos,  ha reconocido la potestad del juzgador para adecuar los honorarios de los Mediadores sin llegar a la declaración de inconstitucionalidad de la normativa referida (CAP, C. N° 2464, 3889, 2631, 4818 entre otras), la que sabido es que por su extrema gravedad  debe ser considerada como  última ratio del orden jurídico. En este sentido, hemos concluido que no existe interés procesal en la declaración de inconstitucionalidad de la normativa específica aplicada por el juzgado para regular los honorarios de la mediadora, porque la misma no impide a su vez la eventual aplicación del art. 1255 2do. párrafo del</w:t>
      </w:r>
      <w:r>
        <w:rPr>
          <w:b/>
          <w:lang w:val="es-AR" w:eastAsia="es-AR" w:bidi="es-AR"/>
        </w:rPr>
        <w:t xml:space="preserve"> </w:t>
      </w:r>
      <w:r>
        <w:rPr>
          <w:lang w:val="es-AR" w:eastAsia="es-AR" w:bidi="es-AR"/>
        </w:rPr>
        <w:t xml:space="preserve">CCyC que posibilita morigerar los aranceles si la aplicación estricta de la ley conduce a una evidente e injustificada desproporción entre la retribución resultante y la importancia de la labor cumplida (en este sentido CAP N° 5306 RSD 90/2024).</w:t>
      </w:r>
    </w:p>
    <w:p>
      <w:pPr>
        <w:pStyle w:val="[Normal]"/>
        <w:spacing w:line="360" w:lineRule="auto"/>
        <w:ind w:firstLine="1134"/>
        <w:jc w:val="both"/>
        <w:rPr>
          <w:b/>
          <w:lang w:val="es-AR" w:eastAsia="es-AR" w:bidi="es-AR"/>
        </w:rPr>
      </w:pPr>
      <w:r>
        <w:rPr>
          <w:lang w:val="es-AR" w:eastAsia="es-AR" w:bidi="es-AR"/>
        </w:rPr>
        <w:t xml:space="preserve">Sentado ello, corresponde adentrarse en el tratamiento del recurso en tanto el agravio lo constituye el monto regulado al Dr. Nicolás Carunchio por su trabajo como Mediador que en la instancia de origen se los determinó en la suma equivalente a 13,04 jus de unidad arancelaria y que la apelante entiende desproporcionados.</w:t>
      </w:r>
    </w:p>
    <w:p>
      <w:pPr>
        <w:pStyle w:val="[Normal]"/>
        <w:spacing w:line="360" w:lineRule="auto"/>
        <w:ind w:firstLine="1134"/>
        <w:jc w:val="both"/>
        <w:rPr>
          <w:b/>
          <w:lang w:val="es-AR" w:eastAsia="es-AR" w:bidi="es-AR"/>
        </w:rPr>
      </w:pPr>
      <w:r>
        <w:rPr>
          <w:lang w:val="es-AR" w:eastAsia="es-AR" w:bidi="es-AR"/>
        </w:rPr>
        <w:t xml:space="preserve">Para ello considero oportuno señalar que no comparto los argumentos expuestos por el letrado de la citada en garantía que reducen la labor de la mediadora a la intervención en una sola audiencia de corta duración, y que ello sea factor determinante para solicitar la reducción de los honorarios profesionales.</w:t>
      </w:r>
    </w:p>
    <w:p>
      <w:pPr>
        <w:pStyle w:val="[Normal]"/>
        <w:spacing w:line="360" w:lineRule="auto"/>
        <w:ind w:firstLine="1134"/>
        <w:jc w:val="both"/>
        <w:rPr>
          <w:lang w:val="es-AR" w:eastAsia="es-AR" w:bidi="es-AR"/>
        </w:rPr>
      </w:pPr>
      <w:r>
        <w:rPr>
          <w:lang w:val="es-AR" w:eastAsia="es-AR" w:bidi="es-AR"/>
        </w:rPr>
        <w:t xml:space="preserve">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b/>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la mediadora, toda vez que es la propia ley la que veda la reproducción de los hechos acaecidos durante la realización de dicha etapa. Con lo cual la cantidad de audiencias realizadas, las características del acta de audiencia y cualquier otra constancia que acredite una gestión llevada a cabo por el mediador (vgr., envío de cartas documentos),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w:t>
      </w:r>
    </w:p>
    <w:p>
      <w:pPr>
        <w:pStyle w:val="[Normal]"/>
        <w:spacing w:line="360" w:lineRule="auto"/>
        <w:ind w:firstLine="1134"/>
        <w:jc w:val="both"/>
        <w:rPr>
          <w:b/>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-septiembre 2024; artículos 31 de la ley 13.951 y 31 del decreto 600/21-, y meritando en dicho orden el monto que resulta de la transacción arribada en el proceso ($3.800.000), valor jus al momento de la regulación de primera instancia</w:t>
      </w:r>
      <w:r>
        <w:rPr>
          <w:b/>
          <w:lang w:val="es-AR" w:eastAsia="es-AR" w:bidi="es-AR"/>
        </w:rPr>
        <w:t xml:space="preserve"> </w:t>
      </w:r>
      <w:r>
        <w:rPr>
          <w:lang w:val="es-AR" w:eastAsia="es-AR" w:bidi="es-AR"/>
        </w:rPr>
        <w:t xml:space="preserve">$43.275</w:t>
      </w:r>
      <w:r>
        <w:rPr>
          <w:b/>
          <w:lang w:val="es-AR" w:eastAsia="es-AR" w:bidi="es-AR"/>
        </w:rPr>
        <w:t xml:space="preserve"> </w:t>
      </w:r>
      <w:r>
        <w:rPr>
          <w:lang w:val="es-AR" w:eastAsia="es-AR" w:bidi="es-AR"/>
        </w:rPr>
        <w:t xml:space="preserve">(Ac. 4200/25 SCBA), monto del asunto equivalente a</w:t>
      </w:r>
      <w:r>
        <w:rPr>
          <w:b/>
          <w:lang w:val="es-AR" w:eastAsia="es-AR" w:bidi="es-AR"/>
        </w:rPr>
        <w:t xml:space="preserve"> </w:t>
      </w:r>
      <w:r>
        <w:rPr>
          <w:lang w:val="es-AR" w:eastAsia="es-AR" w:bidi="es-AR"/>
        </w:rPr>
        <w:t xml:space="preserve">87,81 jus, los honorarios por las tareas de mediación han sido debidamente fijados en la suma equivalente a 13,04 jus de unidad</w:t>
      </w:r>
      <w:r>
        <w:rPr>
          <w:b/>
          <w:lang w:val="es-AR" w:eastAsia="es-AR" w:bidi="es-AR"/>
        </w:rPr>
        <w:t xml:space="preserve"> </w:t>
      </w:r>
      <w:r>
        <w:rPr>
          <w:lang w:val="es-AR" w:eastAsia="es-AR" w:bidi="es-AR"/>
        </w:rPr>
        <w:t xml:space="preserve">arancelaria (art. 31 inc.</w:t>
      </w:r>
      <w:r>
        <w:rPr>
          <w:b/>
          <w:lang w:val="es-AR" w:eastAsia="es-AR" w:bidi="es-AR"/>
        </w:rPr>
        <w:t xml:space="preserve"> </w:t>
      </w:r>
      <w:r>
        <w:rPr>
          <w:lang w:val="es-AR" w:eastAsia="es-AR" w:bidi="es-AR"/>
        </w:rPr>
        <w:t xml:space="preserve">"c"</w:t>
      </w:r>
      <w:r>
        <w:rPr>
          <w:b/>
          <w:lang w:val="es-AR" w:eastAsia="es-AR" w:bidi="es-AR"/>
        </w:rPr>
        <w:t xml:space="preserve"> </w:t>
      </w:r>
      <w:r>
        <w:rPr>
          <w:lang w:val="es-AR" w:eastAsia="es-AR" w:bidi="es-AR"/>
        </w:rPr>
        <w:t xml:space="preserve">del decreto 600/21). </w:t>
      </w:r>
    </w:p>
    <w:p>
      <w:pPr>
        <w:pStyle w:val="[Normal]"/>
        <w:spacing w:line="360" w:lineRule="auto"/>
        <w:ind w:firstLine="1134"/>
        <w:jc w:val="both"/>
        <w:rPr>
          <w:b/>
          <w:color w:val="000000"/>
          <w:lang w:val="es-AR" w:eastAsia="es-AR" w:bidi="es-AR"/>
        </w:rPr>
      </w:pPr>
      <w:r>
        <w:rPr>
          <w:lang w:val="es-AR" w:eastAsia="es-AR" w:bidi="es-AR"/>
        </w:rPr>
        <w:t xml:space="preserve">Por su parte, ha de recordarse que quedan excluidos del tope del art. 730 del CCYCN los honorarios regulados al mediador</w:t>
      </w:r>
      <w:r>
        <w:rPr>
          <w:color w:val="000000"/>
          <w:lang w:val="es-AR" w:eastAsia="es-AR" w:bidi="es-AR"/>
        </w:rPr>
        <w:t xml:space="preserve">.</w:t>
      </w:r>
    </w:p>
    <w:p>
      <w:pPr>
        <w:pStyle w:val="[Normal]"/>
        <w:spacing w:line="360" w:lineRule="auto"/>
        <w:ind w:firstLine="1134"/>
        <w:jc w:val="both"/>
        <w:rPr>
          <w:b/>
          <w:lang w:val="es-AR" w:eastAsia="es-AR" w:bidi="es-AR"/>
        </w:rPr>
      </w:pPr>
      <w:r>
        <w:rPr>
          <w:lang w:val="es-AR" w:eastAsia="es-AR" w:bidi="es-AR"/>
        </w:rPr>
        <w:t xml:space="preserve">Es que el precepto normativo de referencia establece claramente que </w:t>
      </w:r>
      <w:r>
        <w:rPr>
          <w:i/>
          <w:lang w:val="es-AR" w:eastAsia="es-AR" w:bidi="es-AR"/>
        </w:rPr>
        <w:t xml:space="preserve">"...la responsabilidad por el pago de las costas, incluidos los honorarios profesionales, de todo tipo, allí devengados y correspondientes a la </w:t>
      </w:r>
      <w:r>
        <w:rPr>
          <w:i/>
          <w:u w:val="single"/>
          <w:lang w:val="es-AR" w:eastAsia="es-AR" w:bidi="es-AR"/>
        </w:rPr>
        <w:t xml:space="preserve">primera o única instancia</w:t>
      </w:r>
      <w:r>
        <w:rPr>
          <w:i/>
          <w:lang w:val="es-AR" w:eastAsia="es-AR" w:bidi="es-AR"/>
        </w:rPr>
        <w:t xml:space="preserve">, no debe exceder del veinticinco por ciento del monto de la sentencia, laudo, transacción o instrumento que ponga fin al diferendo..."</w:t>
      </w:r>
      <w:r>
        <w:rPr>
          <w:lang w:val="es-AR" w:eastAsia="es-AR" w:bidi="es-AR"/>
        </w:rPr>
        <w:t xml:space="preserve">, y la mediación es una instancia previa obligatoria, y que no está incluida en la primera o única instancia a que refiere dicho artículo </w:t>
      </w:r>
      <w:r>
        <w:rPr>
          <w:color w:val="000000"/>
          <w:lang w:val="es-AR" w:eastAsia="es-AR" w:bidi="es-AR"/>
        </w:rPr>
        <w:t xml:space="preserve">(</w:t>
      </w:r>
      <w:r>
        <w:rPr>
          <w:lang w:val="es-AR" w:eastAsia="es-AR" w:bidi="es-AR"/>
        </w:rPr>
        <w:t xml:space="preserve">cfr. CAP 4385 RSI 12-4-22 Reg. Nro. 56</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Resta señalar que 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Desestimar el recurso de apelación interpuesto, y en consecuencia confirmar el decisorio puesto en crisis. </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20227934213@NOTIFICACIONES.SCBA.GOV.AR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20307008980@NOTIFICACIONES.SCBA.GOV.AR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20124349258@NOTIFICACIONES.SCBA.GOV.AR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10/03/2026 10:13:28 -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10/03/2026 10:37:21 -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10/03/2026 12:19:48 -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‰76")è&amp;q,zkŠ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232202090006811290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10/03/2026 12:20:01 hs. bajo el número RS-24-2026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