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5933-25</w:t>
      </w:r>
      <w:r>
        <w:rPr>
          <w:lang w:val="es-AR" w:eastAsia="es-AR" w:bidi="es-AR"/>
        </w:rPr>
        <w:t xml:space="preserve"> caratulada </w:t>
      </w:r>
      <w:r>
        <w:rPr>
          <w:b/>
          <w:lang w:val="es-AR" w:eastAsia="es-AR" w:bidi="es-AR"/>
        </w:rPr>
        <w:t xml:space="preserve">"</w:t>
      </w:r>
      <w:r>
        <w:rPr>
          <w:b/>
          <w:color w:val="000000"/>
          <w:lang w:val="es-AR" w:eastAsia="es-AR" w:bidi="es-AR"/>
        </w:rPr>
        <w:t xml:space="preserve">M. C. M. C/ R. A. L. S/ INCIDENTE DE CUIDADO PERSONAL DE HIJOS</w:t>
      </w:r>
      <w:r>
        <w:rPr>
          <w:b/>
          <w:lang w:val="es-AR" w:eastAsia="es-AR" w:bidi="es-AR"/>
        </w:rPr>
        <w:t xml:space="preserve">"</w:t>
      </w:r>
      <w:r>
        <w:rPr>
          <w:lang w:val="es-AR" w:eastAsia="es-AR" w:bidi="es-AR"/>
        </w:rPr>
        <w:t xml:space="preserve">, Expte. </w:t>
      </w:r>
      <w:r>
        <w:rPr>
          <w:color w:val="000000"/>
          <w:lang w:val="es-AR" w:eastAsia="es-AR" w:bidi="es-AR"/>
        </w:rPr>
        <w:t xml:space="preserve">39.985</w:t>
      </w:r>
      <w:r>
        <w:rPr>
          <w:color w:val="000000"/>
          <w:lang w:val="es-AR" w:eastAsia="es-AR" w:bidi="es-AR"/>
        </w:rPr>
        <w:t xml:space="preserve"> </w:t>
      </w:r>
      <w:r>
        <w:rPr>
          <w:lang w:val="es-AR" w:eastAsia="es-AR" w:bidi="es-AR"/>
        </w:rPr>
        <w:t xml:space="preserve">del Juzgado de Familia N° 1,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en lo apelado?</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El Sr. Juez de la anterior instancia hizo</w:t>
      </w:r>
      <w:r>
        <w:rPr>
          <w:color w:val="000000"/>
          <w:lang w:val="es-AR" w:eastAsia="es-AR" w:bidi="es-AR"/>
        </w:rPr>
        <w:t xml:space="preserve"> lugar a la demanda entablada por el Sr. M. C. M. contra la Sra. R. A. L., manteniendo el cuidado personal compartido en la modalidad alternada del menor D.M.R. (art. 650, 651, 653 y cc del Código Civil y Comercial; arts. 3 y 12 Convención de los Derechos del Niño). Rechaza la reconvención deducida e impuso las costas por su orden (art. 68 CPCC).  Regula honorarios.-</w:t>
      </w:r>
    </w:p>
    <w:p>
      <w:pPr>
        <w:pStyle w:val="[Normal]"/>
        <w:spacing w:line="360" w:lineRule="auto"/>
        <w:ind w:firstLine="1134"/>
        <w:jc w:val="both"/>
        <w:rPr>
          <w:lang w:val="es-AR" w:eastAsia="es-AR" w:bidi="es-AR"/>
        </w:rPr>
      </w:pPr>
      <w:r>
        <w:rPr>
          <w:lang w:val="es-AR" w:eastAsia="es-AR" w:bidi="es-AR"/>
        </w:rPr>
        <w:t xml:space="preserve">Tal decisorio fue objeto del recurso de apelación interpuesto el día 3-11-2025 por la parte actora, concedido el 7-11-2025 en relación y con efecto diferido y del mismo se dió traslado a la parte demandada, quien el 27-11-2025 lo evacuo.  Elevados los autos a esta Alzada con fecha 11-12-2025 se dictó llamamiento de autos,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Se agravia el recurrente de la imposición de las costas porque no se respeta los parámetros legales establecidos en el art. 68 CPCC. Añade que la demandada es quien lo obligó a iniciar el presente proceso, ante las frustrados intentos de conciliar extrajudicialmente con la progenitora del niño. Solicita en definitiva se revoque la imposición de costas y sean determinadas en contra de la demandada.</w:t>
      </w:r>
    </w:p>
    <w:p>
      <w:pPr>
        <w:pStyle w:val="[Normal]"/>
        <w:spacing w:line="360" w:lineRule="auto"/>
        <w:ind w:firstLine="1134"/>
        <w:jc w:val="both"/>
        <w:rPr>
          <w:lang w:val="es-AR" w:eastAsia="es-AR" w:bidi="es-AR"/>
        </w:rPr>
      </w:pPr>
      <w:r>
        <w:rPr>
          <w:lang w:val="es-AR" w:eastAsia="es-AR" w:bidi="es-AR"/>
        </w:rPr>
        <w:t xml:space="preserve">La contraria al contestar el traslado y solicita el rechazo de la pieza recursiva, toda vez que por la naturaleza de la cuestión resuelta, no existe un vencido puro y simple, pues la solución que se adoptó es en base al interés del niño. Aduna que lo resulto se ajustó a los dichos del niño, y no a la pretensión de las partes involucradas (art. 707 del CCyCN).</w:t>
      </w:r>
    </w:p>
    <w:p>
      <w:pPr>
        <w:pStyle w:val="[Normal]"/>
        <w:spacing w:line="360" w:lineRule="auto"/>
        <w:ind w:firstLine="1134"/>
        <w:jc w:val="both"/>
        <w:rPr>
          <w:lang w:val="es-AR" w:eastAsia="es-AR" w:bidi="es-AR"/>
        </w:rPr>
      </w:pPr>
      <w:r>
        <w:rPr>
          <w:lang w:val="es-AR" w:eastAsia="es-AR" w:bidi="es-AR"/>
        </w:rPr>
        <w:t xml:space="preserve"> Entrando a resolver, y adelantando opinión al respecto he de coincidir con la distribución de costas resuelta por el juzgador de la anterior instancia, por lo que propongo al Acuerdo su confirmación.</w:t>
      </w:r>
    </w:p>
    <w:p>
      <w:pPr>
        <w:pStyle w:val="[Normal]"/>
        <w:spacing w:line="360" w:lineRule="auto"/>
        <w:ind w:firstLine="1134"/>
        <w:jc w:val="both"/>
        <w:rPr>
          <w:lang w:val="es-AR" w:eastAsia="es-AR" w:bidi="es-AR"/>
        </w:rPr>
      </w:pPr>
      <w:r>
        <w:rPr>
          <w:lang w:val="es-AR" w:eastAsia="es-AR" w:bidi="es-AR"/>
        </w:rPr>
        <w:t xml:space="preserve">En efecto, de la compulsa de autos surge que el incidentista en su escrito de demanda solicitó la modificación del régimen de cuidado, el cual fue rebatido por la progenitora quien en su responde propuso un régimen diferente reconviniendo la acción. En el fondo hubo oposición, lo que ameritó la apertura y producción de prueba, haciendo que la causa tramite durante poco mas de año y medio.</w:t>
      </w:r>
    </w:p>
    <w:p>
      <w:pPr>
        <w:pStyle w:val="[Normal]"/>
        <w:spacing w:line="360" w:lineRule="auto"/>
        <w:ind w:firstLine="1134"/>
        <w:jc w:val="both"/>
        <w:rPr>
          <w:lang w:val="es-AR" w:eastAsia="es-AR" w:bidi="es-AR"/>
        </w:rPr>
      </w:pPr>
      <w:r>
        <w:rPr>
          <w:lang w:val="es-AR" w:eastAsia="es-AR" w:bidi="es-AR"/>
        </w:rPr>
        <w:t xml:space="preserve">El a quo al resolver consideró los dichos del menor, y resolvió poniendo el énfasis en el interés superior del niño, al cual los progenitores deberán ajustarse, y en el apartado III de los considerandos fundó la imposición de las costas, apartándose del principio de la derrota, pues en el incidente en tratamiento no es que se modificó sustancialmente el régimen del cuidado del menor, sino que se cambió el régimen de vida, de acuerdo a lo más conveniente para el niño.</w:t>
      </w:r>
    </w:p>
    <w:p>
      <w:pPr>
        <w:pStyle w:val="[Normal]"/>
        <w:spacing w:line="360" w:lineRule="auto"/>
        <w:ind w:firstLine="1134"/>
        <w:jc w:val="both"/>
        <w:rPr>
          <w:lang w:val="es-AR" w:eastAsia="es-AR" w:bidi="es-AR"/>
        </w:rPr>
      </w:pPr>
      <w:r>
        <w:rPr>
          <w:lang w:val="es-AR" w:eastAsia="es-AR" w:bidi="es-AR"/>
        </w:rPr>
        <w:t xml:space="preserve">Se ha dicho respecto a las costas que </w:t>
      </w:r>
      <w:r>
        <w:rPr>
          <w:i/>
          <w:lang w:val="es-AR" w:eastAsia="es-AR" w:bidi="es-AR"/>
        </w:rPr>
        <w:t xml:space="preserve">"en el proceso de familia la doctrina y jurisprudencia han propugnado una tendencia a prescindir del principio de la derrota. Se considera que la intervención del juez es una carga común por ser necesaria para componer las diferencias entre las partes o, en otros casos, para resguardar los intereses del denunciado o demandado (ej. interdicción, inhabilitación). Por ello el principio en estudio (se refiere al acceso a la justicia) implica que la regla debe ser costas por su orden y la excepción costas a cargo del perdidoso cuando es su conducta la que ha hecho necesaria la intervención judicial de otra manera obviable" </w:t>
      </w:r>
      <w:r>
        <w:rPr>
          <w:lang w:val="es-AR" w:eastAsia="es-AR" w:bidi="es-AR"/>
        </w:rPr>
        <w:t xml:space="preserve"> (Código Civil y Comercial de la Nación Comentado, Tomo II, Directores Rivera y Medina, Edit. La Ley, capítulo Proceso de Familia, Pág. 638, 2014).</w:t>
      </w:r>
    </w:p>
    <w:p>
      <w:pPr>
        <w:pStyle w:val="[Normal]"/>
        <w:spacing w:line="360" w:lineRule="auto"/>
        <w:ind w:firstLine="1134"/>
        <w:jc w:val="both"/>
        <w:rPr>
          <w:lang w:val="es-AR" w:eastAsia="es-AR" w:bidi="es-AR"/>
        </w:rPr>
      </w:pPr>
      <w:r>
        <w:rPr>
          <w:lang w:val="es-AR" w:eastAsia="es-AR" w:bidi="es-AR"/>
        </w:rPr>
        <w:t xml:space="preserve">"Las costas por su orden en materia de familia procuran llevar a la paz familiar y por ello son derivación de la protección de la familia (art. 36 inc. 1,2,3 y 7 Const. Prov.), lo cual debe armonizarse con el de facilitar el acceso a la justicia, receptado por el art. 8 Pacto San José de Costa Rica, el Art. 15 Const. Prov. y 706 CCCN. Este último en su inciso a) señala que "las normas que el procedimiento deben ser aplicadas de modo de facilitar el acceso a la justicia, especialmente tratándose de personas vulnerables, y la resolución pacífica de los conflictos" (cfr. CC0201 LP 135169 1 580 I 31/10/2023, " J. C. A. C/ O. A. M. S/ CUIDADO PERSONAL (LEGAJO DE APELACION", Jueces firmantes; Sosa Aubone-Lopez Muro).</w:t>
      </w:r>
    </w:p>
    <w:p>
      <w:pPr>
        <w:pStyle w:val="[Normal]"/>
        <w:spacing w:line="360" w:lineRule="auto"/>
        <w:ind w:firstLine="1134"/>
        <w:jc w:val="both"/>
        <w:rPr>
          <w:lang w:val="es-AR" w:eastAsia="es-AR" w:bidi="es-AR"/>
        </w:rPr>
      </w:pPr>
      <w:r>
        <w:rPr>
          <w:lang w:val="es-AR" w:eastAsia="es-AR" w:bidi="es-AR"/>
        </w:rPr>
        <w:t xml:space="preserve">Ello es lo que ocurrió en el caso, en donde los progenitores no han logrado entenderse ni acordar entre ellos el mejor régimen de comunicación con su hijo, y si bien el recurrente manifiesta como agravio que la progenitora con su conducta es quien lo obligó a iniciar el proceso, ello no resulta óbice para aplicar sin mas el principio de la derrota previsto por el art. 68 del CPCC. En definitiva los argumentos dados por el recurrente no alcanzan a rebatir las valederas razones que expuso el juez para hacer lugar a la eximición parcial de las costas, quedando el descontento sujeto a una mera disconformidad con lo decidido por el operador de grado.</w:t>
      </w:r>
    </w:p>
    <w:p>
      <w:pPr>
        <w:pStyle w:val="[Normal]"/>
        <w:spacing w:line="360" w:lineRule="auto"/>
        <w:ind w:firstLine="1134"/>
        <w:jc w:val="both"/>
        <w:rPr>
          <w:lang w:val="es-AR" w:eastAsia="es-AR" w:bidi="es-AR"/>
        </w:rPr>
      </w:pPr>
      <w:r>
        <w:rPr>
          <w:lang w:val="es-AR" w:eastAsia="es-AR" w:bidi="es-AR"/>
        </w:rPr>
        <w:t xml:space="preserve">En consecuencia con todo lo arriba mencionado, es que valorando las conductas de las partes, propongo al acuerdo confirmar la imposición de costas por su orden. Misma tesitura deberá aplicarse en relación a las costas por la actuación ante esta alzada (art. 706 CCCN y arts. 68 CPCC).</w:t>
      </w:r>
    </w:p>
    <w:p>
      <w:pPr>
        <w:pStyle w:val="[Normal]"/>
        <w:spacing w:line="360" w:lineRule="auto"/>
        <w:ind w:firstLine="1134"/>
        <w:jc w:val="both"/>
        <w:rPr>
          <w:lang w:val="es-AR" w:eastAsia="es-AR" w:bidi="es-AR"/>
        </w:rPr>
      </w:pPr>
      <w:r>
        <w:rPr>
          <w:lang w:val="es-AR" w:eastAsia="es-AR" w:bidi="es-AR"/>
        </w:rPr>
        <w:t xml:space="preserve">En cuanto al cuestionamiento formulado a la regulación de honorarios, he de señalar que no resulta claro el embate intentado por el recurrente (altos o bajos) y habiéndose omitido conceder el recurso bajo la normativa del art. 57 de la Ley 14967 en la anterior sede, no me he de abocar a la revisión de este punto, por exceder el marco del recurso concedido por el operador de grado.</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AFIMATIVA</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Rechazar el recurso de apelación deducido y en su mérito confirmar la sentencia en lo que fuera materia de agravios.</w:t>
      </w:r>
    </w:p>
    <w:p>
      <w:pPr>
        <w:pStyle w:val="[Normal]"/>
        <w:spacing w:line="360" w:lineRule="auto"/>
        <w:ind w:firstLine="1134"/>
        <w:jc w:val="both"/>
        <w:rPr>
          <w:lang w:val="es-AR" w:eastAsia="es-AR" w:bidi="es-AR"/>
        </w:rPr>
      </w:pPr>
      <w:r>
        <w:rPr>
          <w:lang w:val="es-AR" w:eastAsia="es-AR" w:bidi="es-AR"/>
        </w:rPr>
        <w:t xml:space="preserve">Las cosas de alzada se imponen por su orden (arg. art. 706 CCCN y arts. 68 CPCC).</w:t>
      </w:r>
    </w:p>
    <w:p>
      <w:pPr>
        <w:pStyle w:val="[Normal]"/>
        <w:spacing w:line="360" w:lineRule="auto"/>
        <w:ind w:firstLine="1134"/>
        <w:jc w:val="both"/>
        <w:rPr>
          <w:lang w:val="es-AR" w:eastAsia="es-AR" w:bidi="es-AR"/>
        </w:rPr>
      </w:pPr>
      <w:r>
        <w:rPr>
          <w:lang w:val="es-AR" w:eastAsia="es-AR" w:bidi="es-AR"/>
        </w:rPr>
        <w:t xml:space="preserve">Diferir la regulación de los honorarios profesionales para su oportunidad (Art. 31 ley arancelaria).</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Rechazar el recurso de apelación deducido y en su mérito confirmar la sentencia en lo que fuera materia de agravios.</w:t>
      </w:r>
    </w:p>
    <w:p>
      <w:pPr>
        <w:pStyle w:val="[Normal]"/>
        <w:spacing w:line="360" w:lineRule="auto"/>
        <w:ind w:firstLine="1134"/>
        <w:jc w:val="both"/>
        <w:rPr>
          <w:lang w:val="es-AR" w:eastAsia="es-AR" w:bidi="es-AR"/>
        </w:rPr>
      </w:pPr>
      <w:r>
        <w:rPr>
          <w:lang w:val="es-AR" w:eastAsia="es-AR" w:bidi="es-AR"/>
        </w:rPr>
        <w:t xml:space="preserve">Las cosas de alzada se imponen por su orden (arg. art. 706 CCCN y arts. 68 CPCC).</w:t>
      </w:r>
    </w:p>
    <w:p>
      <w:pPr>
        <w:pStyle w:val="[Normal]"/>
        <w:spacing w:line="360" w:lineRule="auto"/>
        <w:ind w:firstLine="1134"/>
        <w:jc w:val="both"/>
        <w:rPr>
          <w:lang w:val="es-AR" w:eastAsia="es-AR" w:bidi="es-AR"/>
        </w:rPr>
      </w:pPr>
      <w:r>
        <w:rPr>
          <w:lang w:val="es-AR" w:eastAsia="es-AR" w:bidi="es-AR"/>
        </w:rPr>
        <w:t xml:space="preserve">Diferir la regulación de los honorarios profesionales para su oportunidad (Art. 31 ley arancelaria).</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jc w:val="right"/>
      <w:rPr>
        <w:color w:val="000000"/>
        <w:lang w:val="es-AR" w:eastAsia="es-AR" w:bidi="es-AR"/>
      </w:rPr>
    </w:pPr>
    <w:r>
      <w:rPr>
        <w:color w:val="000000"/>
        <w:lang w:val="es-AR" w:eastAsia="es-AR" w:bidi="es-AR"/>
      </w:rPr>
      <w:t xml:space="preserve"> </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‰6a")è&amp;q*&amp;&amp;Š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226502090006811006</w:t>
    </w:r>
    <w:r>
      <w:rPr>
        <w:color w:val="000000"/>
        <w:lang w:val="es-AR" w:eastAsia="es-AR" w:bidi="es-AR"/>
      </w:rPr>
      <w:t xml:space="preserve"> </w:t>
    </w:r>
  </w:p>
  <w:p>
    <w:pPr>
      <w:pStyle w:val="[Normal]"/>
      <w:jc w:val="both"/>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jc w:val="both"/>
      <w:rPr>
        <w:color w:val="000000"/>
        <w:lang w:val="es-AR" w:eastAsia="es-AR" w:bidi="es-AR"/>
      </w:rPr>
    </w:pPr>
    <w:r>
      <w:rPr>
        <w:color w:val="000000"/>
        <w:lang w:val="es-AR" w:eastAsia="es-AR" w:bidi="es-AR"/>
      </w:rPr>
      <w:t xml:space="preserve">PROVINCIA DE BUENOS AIRES</w:t>
    </w:r>
  </w:p>
  <w:p>
    <w:pPr>
      <w:pStyle w:val="[Normal]"/>
      <w:jc w:val="both"/>
      <w:rPr>
        <w:color w:val="000000"/>
        <w:lang w:val="es-AR" w:eastAsia="es-AR" w:bidi="es-AR"/>
      </w:rPr>
    </w:pPr>
    <w:r>
      <w:rPr>
        <w:color w:val="000000"/>
        <w:lang w:val="es-AR" w:eastAsia="es-AR" w:bidi="es-AR"/>
      </w:rPr>
      <w:t xml:space="preserve">              Poder Judicial </w:t>
    </w:r>
  </w:p>
  <w:p>
    <w:pPr>
      <w:pStyle w:val="[Normal]"/>
      <w:jc w:val="both"/>
      <w:rPr>
        <w:color w:val="000000"/>
        <w:lang w:val="es-AR" w:eastAsia="es-AR" w:bidi="es-AR"/>
      </w:rPr>
    </w:pP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