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5951-25</w:t>
      </w:r>
      <w:r>
        <w:rPr>
          <w:lang w:val="es-AR" w:eastAsia="es-AR" w:bidi="es-AR"/>
        </w:rPr>
        <w:t xml:space="preserve"> caratulada </w:t>
      </w:r>
      <w:r>
        <w:rPr>
          <w:b/>
          <w:lang w:val="es-AR" w:eastAsia="es-AR" w:bidi="es-AR"/>
        </w:rPr>
        <w:t xml:space="preserve">"</w:t>
      </w:r>
      <w:r>
        <w:rPr>
          <w:b/>
          <w:color w:val="000000"/>
          <w:lang w:val="es-AR" w:eastAsia="es-AR" w:bidi="es-AR"/>
        </w:rPr>
        <w:t xml:space="preserve">G. M. L. C/ L. I. A. S/ INCIDENTE DE ALIMENTOS</w:t>
      </w:r>
      <w:r>
        <w:rPr>
          <w:b/>
          <w:lang w:val="es-AR" w:eastAsia="es-AR" w:bidi="es-AR"/>
        </w:rPr>
        <w:t xml:space="preserve">"</w:t>
      </w:r>
      <w:r>
        <w:rPr>
          <w:lang w:val="es-AR" w:eastAsia="es-AR" w:bidi="es-AR"/>
        </w:rPr>
        <w:t xml:space="preserve">, Expte. N° 36088 del Juzgado de Familia N° 1,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w:t>
      </w:r>
      <w:r>
        <w:rPr>
          <w:color w:val="000000"/>
          <w:lang w:val="es-AR" w:eastAsia="es-AR" w:bidi="es-AR"/>
        </w:rPr>
        <w:t xml:space="preserve"> </w:t>
      </w:r>
      <w:r>
        <w:rPr>
          <w:lang w:val="es-AR" w:eastAsia="es-AR" w:bidi="es-AR"/>
        </w:rPr>
        <w:t xml:space="preserve">¿Se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magistrado de la anterior sede acogió la demanda de aumento de cuota de alimentos entablada por  M. L. G. en representación de su hija N.L.G contra el Sr. I. A. L.  y elevó la cuota alimentaria a la suma de pesos doscientos veinte mil ($220.000). Estableció que la cuota alimentaria debe abonarse por mes adelantado y rige a partir de la fecha de interposición de la demanda. Difirió la fijación de cuota suplementaria. Reguló honorarios.</w:t>
      </w:r>
    </w:p>
    <w:p>
      <w:pPr>
        <w:pStyle w:val="[Normal]"/>
        <w:spacing w:line="360" w:lineRule="auto"/>
        <w:ind w:firstLine="1134"/>
        <w:jc w:val="both"/>
        <w:rPr>
          <w:lang w:val="es-AR" w:eastAsia="es-AR" w:bidi="es-AR"/>
        </w:rPr>
      </w:pPr>
      <w:r>
        <w:rPr>
          <w:lang w:val="es-AR" w:eastAsia="es-AR" w:bidi="es-AR"/>
        </w:rPr>
        <w:t xml:space="preserve">Dicho pronunciamiento es apelado por la parte demandada el 6-11-2025, recurso concedido en relación el 11-11-2025, fundado el 19-11-2025 y conferido el traslado es contestado el 1-12-2025 por la contraparte y luego la Asesora de Incapaces evacua la vista conferida el 9-12-2025.</w:t>
      </w:r>
    </w:p>
    <w:p>
      <w:pPr>
        <w:pStyle w:val="[Normal]"/>
        <w:spacing w:line="360" w:lineRule="auto"/>
        <w:ind w:firstLine="1134"/>
        <w:jc w:val="both"/>
        <w:rPr>
          <w:lang w:val="es-AR" w:eastAsia="es-AR" w:bidi="es-AR"/>
        </w:rPr>
      </w:pPr>
      <w:r>
        <w:rPr>
          <w:lang w:val="es-AR" w:eastAsia="es-AR" w:bidi="es-AR"/>
        </w:rPr>
        <w:t xml:space="preserve">Se queja el recurrente de la sentencia la cual considera injusta, irrazonable e infundada pues no toma en cuenta la situación de desempleado, que se encuentra sin vivienda y tiene otra carga de familia que es una niña de meses de edad. Añade que su situación económica es apremiante y que actualmente es desempleado. Señala que la cuota fijada afecta seriamente su situación actual, por lo que solicita se fije una cuota que se ajuste a sus posibilidades económicas.</w:t>
      </w:r>
    </w:p>
    <w:p>
      <w:pPr>
        <w:pStyle w:val="[Normal]"/>
        <w:spacing w:line="360" w:lineRule="auto"/>
        <w:ind w:firstLine="1134"/>
        <w:jc w:val="both"/>
        <w:rPr>
          <w:lang w:val="es-AR" w:eastAsia="es-AR" w:bidi="es-AR"/>
        </w:rPr>
      </w:pPr>
      <w:r>
        <w:rPr>
          <w:lang w:val="es-AR" w:eastAsia="es-AR" w:bidi="es-AR"/>
        </w:rPr>
        <w:t xml:space="preserve">Corrido el traslado, es contestado por la contraria quien solicita se declare desierto el recurso por insuficiencia recursiva y en subsidio, procede a contestar el traslado conferido, peticionando se confirme la sentencia apelada, con costas al demandado.</w:t>
      </w:r>
    </w:p>
    <w:p>
      <w:pPr>
        <w:pStyle w:val="[Normal]"/>
        <w:spacing w:line="360" w:lineRule="auto"/>
        <w:ind w:firstLine="1134"/>
        <w:jc w:val="both"/>
        <w:rPr>
          <w:lang w:val="es-AR" w:eastAsia="es-AR" w:bidi="es-AR"/>
        </w:rPr>
      </w:pPr>
      <w:r>
        <w:rPr>
          <w:lang w:val="es-AR" w:eastAsia="es-AR" w:bidi="es-AR"/>
        </w:rPr>
        <w:t xml:space="preserve">Ingresados los autos a esta Alzada el 16-12-2025, se dicta el llamamiento de autos para resolver, providencia que firme a la fecha deja la causa en condiciones de ser resuelta.</w:t>
      </w:r>
    </w:p>
    <w:p>
      <w:pPr>
        <w:pStyle w:val="[Normal]"/>
        <w:spacing w:line="360" w:lineRule="auto"/>
        <w:ind w:firstLine="1134"/>
        <w:jc w:val="both"/>
        <w:rPr>
          <w:lang w:val="es-AR" w:eastAsia="es-AR" w:bidi="es-AR"/>
        </w:rPr>
      </w:pPr>
      <w:r>
        <w:rPr>
          <w:lang w:val="es-AR" w:eastAsia="es-AR" w:bidi="es-AR"/>
        </w:rPr>
        <w:t xml:space="preserve">I.- Liminarmente, en relación a la cuestión introducida expresamente por la parte actora en su responde relativa al incumplimiento de los recaudos establecidos por el art. 260 del CPCC, cabe señalar que de la lectura del memorial arrimado por el alimentante se advierte una crítica concreta y razonada del fallo apelado que logra superar mínimamente  las exigencias técnicas previstas por el ritual en la materia, como así también en el caso la naturaleza del proceso alimentario, me llevan a decidir que amerita la apertura de esta instancia para el tratamiento del remedio recursivo.</w:t>
      </w:r>
    </w:p>
    <w:p>
      <w:pPr>
        <w:pStyle w:val="[Normal]"/>
        <w:spacing w:line="360" w:lineRule="auto"/>
        <w:ind w:firstLine="1134"/>
        <w:jc w:val="both"/>
        <w:rPr>
          <w:lang w:val="es-AR" w:eastAsia="es-AR" w:bidi="es-AR"/>
        </w:rPr>
      </w:pPr>
      <w:r>
        <w:rPr>
          <w:lang w:val="es-AR" w:eastAsia="es-AR" w:bidi="es-AR"/>
        </w:rPr>
        <w:t xml:space="preserve">Se ha dicho en jurisprudencia que: </w:t>
      </w:r>
      <w:r>
        <w:rPr>
          <w:i/>
          <w:lang w:val="es-AR" w:eastAsia="es-AR" w:bidi="es-AR"/>
        </w:rPr>
        <w:t xml:space="preserve">"En caso de duda de si el escrito en que se expresan agravios, reúne o no los requisitos para tenerlo por tal, ha de estarse por la apertura de la segunda instancia, que implica una garantía más, para el que tiene un derecho legítimo para hacer valer en justicia (C. 1 a. Bahía Blanca, sala 2 a. SPLL 1981-340)"</w:t>
      </w:r>
      <w:r>
        <w:rPr>
          <w:lang w:val="es-AR" w:eastAsia="es-AR" w:bidi="es-AR"/>
        </w:rPr>
        <w:t xml:space="preserve">. (Cita de Morello, Códigos Procesales, T. IV pág 271).</w:t>
      </w:r>
    </w:p>
    <w:p>
      <w:pPr>
        <w:pStyle w:val="[Normal]"/>
        <w:spacing w:line="360" w:lineRule="auto"/>
        <w:ind w:firstLine="1134"/>
        <w:jc w:val="both"/>
        <w:rPr>
          <w:lang w:val="es-AR" w:eastAsia="es-AR" w:bidi="es-AR"/>
        </w:rPr>
      </w:pPr>
      <w:r>
        <w:rPr>
          <w:lang w:val="es-AR" w:eastAsia="es-AR" w:bidi="es-AR"/>
        </w:rPr>
        <w:t xml:space="preserve">II.- Sentado ello, e ingresando a dar tratamiento a la pieza recursiva, he de partir de la base que ..</w:t>
      </w:r>
      <w:r>
        <w:rPr>
          <w:i/>
          <w:lang w:val="es-AR" w:eastAsia="es-AR" w:bidi="es-AR"/>
        </w:rPr>
        <w:t xml:space="preserve">.”la cuota alimentaria se mantiene inalterable en tanto subsistan los presupuestos de hecho en virtud de los cuales se la fijó, circunscribiéndose la posibilidad de modificación al cambio de circunstancias en que fuera fundada, ya por la variación del caudal de las partes o la modificación del estado de necesidad del alimentado”</w:t>
      </w:r>
      <w:r>
        <w:rPr>
          <w:lang w:val="es-AR" w:eastAsia="es-AR" w:bidi="es-AR"/>
        </w:rPr>
        <w:t xml:space="preserve"> (Cap 2071/14, RSD Nº 99-14, del 22 de septiembre de 2014).-</w:t>
      </w:r>
    </w:p>
    <w:p>
      <w:pPr>
        <w:pStyle w:val="[Normal]"/>
        <w:spacing w:line="360" w:lineRule="auto"/>
        <w:ind w:firstLine="1134"/>
        <w:jc w:val="both"/>
        <w:rPr>
          <w:lang w:val="es-AR" w:eastAsia="es-AR" w:bidi="es-AR"/>
        </w:rPr>
      </w:pPr>
      <w:r>
        <w:rPr>
          <w:lang w:val="es-AR" w:eastAsia="es-AR" w:bidi="es-AR"/>
        </w:rPr>
        <w:t xml:space="preserve">Sabido es que "</w:t>
      </w:r>
      <w:r>
        <w:rPr>
          <w:i/>
          <w:lang w:val="es-AR" w:eastAsia="es-AR" w:bidi="es-AR"/>
        </w:rPr>
        <w:t xml:space="preserve">La cuota alimentaria que se fija en un proceso judicial es por esencia modificable, circunstancial y variable; su alteración -aumento o disminución- e incluso la cesación de la cuota de alimentos ya fijada por sentencia o convenio, procederá si ha habido con posterioridad a ese momento una variación de los presupuestos fácticos que se tuvieron en cuenta para establecerla."</w:t>
      </w:r>
      <w:r>
        <w:rPr>
          <w:lang w:val="es-AR" w:eastAsia="es-AR" w:bidi="es-AR"/>
        </w:rPr>
        <w:t xml:space="preserve"> (CC0201 LP 134131 340 S 24/09/2024 Juez SOSA AUBONE (SD), Sumario JUBA B259372).</w:t>
      </w:r>
    </w:p>
    <w:p>
      <w:pPr>
        <w:pStyle w:val="[Normal]"/>
        <w:spacing w:line="360" w:lineRule="auto"/>
        <w:ind w:firstLine="1134"/>
        <w:jc w:val="both"/>
        <w:rPr>
          <w:lang w:val="es-AR" w:eastAsia="es-AR" w:bidi="es-AR"/>
        </w:rPr>
      </w:pPr>
      <w:r>
        <w:rPr>
          <w:lang w:val="es-AR" w:eastAsia="es-AR" w:bidi="es-AR"/>
        </w:rPr>
        <w:t xml:space="preserve">En el caso, se presentó la progenitora y solicitó el aumento de la cuota establecida en un porcentaje del salario que percibía el demandado (20%) como empleado de Star Bags S.A., que fuera acordado en Mayo del 2023 en la causa caratulada "G. M. L. c/ L. I. A. s/ Alimentos”, Expte. Nro 36.088, por resulta la misma insuficiente para cubrir los gastos y necesidades de su hija (P.E. 26/6/2024).</w:t>
      </w:r>
    </w:p>
    <w:p>
      <w:pPr>
        <w:pStyle w:val="[Normal]"/>
        <w:spacing w:line="360" w:lineRule="auto"/>
        <w:ind w:firstLine="1134"/>
        <w:jc w:val="both"/>
        <w:rPr>
          <w:lang w:val="es-AR" w:eastAsia="es-AR" w:bidi="es-AR"/>
        </w:rPr>
      </w:pPr>
      <w:r>
        <w:rPr>
          <w:lang w:val="es-AR" w:eastAsia="es-AR" w:bidi="es-AR"/>
        </w:rPr>
        <w:t xml:space="preserve">El juez de grado hizo lugar a la pretensión de la accionante, y para así resolver consideró la prueba documental acompañada, el informe socio ambiental producido por la Perito Asistente Social del Juzgado de Familia Nº 1, Andrea E. Sincovich, la entrevista a la niña de la que surge un desentendimiento del progenitor, a quien no ve desde hace más de dos años. Hizo referencia al cuidado personal que tiene la progenitora de la menor, quien trabaja como auxiliar en un establecimiento educativo de J.A. de la Peña y en contraturno realiza trabajos de manera informal como empleada del servicio doméstico, y con sus ingresos paga los gastos de la niña. </w:t>
      </w:r>
    </w:p>
    <w:p>
      <w:pPr>
        <w:pStyle w:val="[Normal]"/>
        <w:spacing w:line="360" w:lineRule="auto"/>
        <w:ind w:firstLine="1134"/>
        <w:jc w:val="both"/>
        <w:rPr>
          <w:lang w:val="es-AR" w:eastAsia="es-AR" w:bidi="es-AR"/>
        </w:rPr>
      </w:pPr>
      <w:r>
        <w:rPr>
          <w:lang w:val="es-AR" w:eastAsia="es-AR" w:bidi="es-AR"/>
        </w:rPr>
        <w:t xml:space="preserve">Así también, consideró la conducta procesal del demandado evidenciada en la causa, en la que no contestó demanda, ni tampoco colaboró en la realización del informe socioambiental ordenado en autos (art. 840 del CPCC).</w:t>
      </w:r>
    </w:p>
    <w:p>
      <w:pPr>
        <w:pStyle w:val="[Normal]"/>
        <w:spacing w:line="360" w:lineRule="auto"/>
        <w:ind w:firstLine="1134"/>
        <w:jc w:val="both"/>
        <w:rPr>
          <w:lang w:val="es-AR" w:eastAsia="es-AR" w:bidi="es-AR"/>
        </w:rPr>
      </w:pPr>
      <w:r>
        <w:rPr>
          <w:lang w:val="es-AR" w:eastAsia="es-AR" w:bidi="es-AR"/>
        </w:rPr>
        <w:t xml:space="preserve">La profesional interviniente en su informe, expresó: "En relación al Sr. I. A. L., me constituí en varias oportunidades en diferentes días y horarios en el domicilio del mencionado, ubicado en calle 25 de Mayo Nro. 888, casi esquina Florida de este medio sin ser atendida por morador alguno; por tal motivo se presenta solo el informe social correspondiente a la actora." (Cfr. P.E. 9/5/2025).</w:t>
      </w:r>
    </w:p>
    <w:p>
      <w:pPr>
        <w:pStyle w:val="[Normal]"/>
        <w:spacing w:line="360" w:lineRule="auto"/>
        <w:ind w:firstLine="1134"/>
        <w:jc w:val="both"/>
        <w:rPr>
          <w:lang w:val="es-AR" w:eastAsia="es-AR" w:bidi="es-AR"/>
        </w:rPr>
      </w:pPr>
      <w:r>
        <w:rPr>
          <w:lang w:val="es-AR" w:eastAsia="es-AR" w:bidi="es-AR"/>
        </w:rPr>
        <w:t xml:space="preserve">El Juez de origen hizo lugar a la petición de la actora, mediante una resolución fundada y apoyada en la normativa vigente y concluyó que en el caso se dieron las modificaciones necesarias que ameritaba el aumento pretendido, solución que adelanto opinión he de coincidir.</w:t>
      </w:r>
    </w:p>
    <w:p>
      <w:pPr>
        <w:pStyle w:val="[Normal]"/>
        <w:spacing w:line="360" w:lineRule="auto"/>
        <w:ind w:firstLine="1134"/>
        <w:jc w:val="both"/>
        <w:rPr>
          <w:lang w:val="es-AR" w:eastAsia="es-AR" w:bidi="es-AR"/>
        </w:rPr>
      </w:pPr>
      <w:r>
        <w:rPr>
          <w:lang w:val="es-AR" w:eastAsia="es-AR" w:bidi="es-AR"/>
        </w:rPr>
        <w:t xml:space="preserve">Ciertamente el escrito del apelante se ciñe a manifestar su desacuerdo con el decisorio atacado y achaca al operador de grado que en su decisión no consideró que se encontraba desocupado, sin vivienda y que desde hace poco posee otra carga de familia, lo que le hacen imposible el cumplimiento de su obligación alimentaria. </w:t>
      </w:r>
    </w:p>
    <w:p>
      <w:pPr>
        <w:pStyle w:val="[Normal]"/>
        <w:spacing w:line="360" w:lineRule="auto"/>
        <w:ind w:firstLine="1134"/>
        <w:jc w:val="both"/>
        <w:rPr>
          <w:i/>
          <w:lang w:val="es-AR" w:eastAsia="es-AR" w:bidi="es-AR"/>
        </w:rPr>
      </w:pPr>
      <w:r>
        <w:rPr>
          <w:lang w:val="es-AR" w:eastAsia="es-AR" w:bidi="es-AR"/>
        </w:rPr>
        <w:t xml:space="preserve">Analizando los agravios vertidos, surge una clara omisión de una crítica concreta y razonada del fallo, cuando en rigor de verdad, el ataque se centra en la situación económica del apelante, quién debió presentarse en el momento procesal oportuno a alegar y ofrecer la prueba que hace a su derecho a la defensa (Arts. 175 y 640 del C.P.C.C.), extremo que no ha sido ejercido en debida forma. </w:t>
      </w:r>
    </w:p>
    <w:p>
      <w:pPr>
        <w:pStyle w:val="[Normal]"/>
        <w:spacing w:line="360" w:lineRule="auto"/>
        <w:ind w:firstLine="1134"/>
        <w:jc w:val="both"/>
        <w:rPr>
          <w:lang w:val="es-AR" w:eastAsia="es-AR" w:bidi="es-AR"/>
        </w:rPr>
      </w:pPr>
      <w:r>
        <w:rPr>
          <w:lang w:val="es-AR" w:eastAsia="es-AR" w:bidi="es-AR"/>
        </w:rPr>
        <w:t xml:space="preserve">También resulta improcedente la incorporación del planteo de imposibilidad de pago que introduce en su memorial, pues no fue opuesto en la instancia de origen y obviamente no pudo pronunciarse el "iudex a-quo" (arts. 34 inc. 4º, 163 inc. 6º, Código Procesal). </w:t>
      </w:r>
    </w:p>
    <w:p>
      <w:pPr>
        <w:pStyle w:val="[Normal]"/>
        <w:spacing w:line="360" w:lineRule="auto"/>
        <w:ind w:firstLine="1134"/>
        <w:jc w:val="both"/>
        <w:rPr>
          <w:lang w:val="es-AR" w:eastAsia="es-AR" w:bidi="es-AR"/>
        </w:rPr>
      </w:pPr>
      <w:r>
        <w:rPr>
          <w:lang w:val="es-AR" w:eastAsia="es-AR" w:bidi="es-AR"/>
        </w:rPr>
        <w:t xml:space="preserve">Ha sostenido la jurisprudencia: </w:t>
      </w:r>
      <w:r>
        <w:rPr>
          <w:i/>
          <w:lang w:val="es-AR" w:eastAsia="es-AR" w:bidi="es-AR"/>
        </w:rPr>
        <w:t xml:space="preserve">"..Mediante el recurso de apelación no pueden someterse a conocimiento de la Alzada defensas o cuestiones que no fueron articuladas oportunamente, importando su tratamiento por parte de este Tribunal la violación de los arts. 34 inc. 4to., 163 inc. 6to., 266 y 272 del Código Procesal..."</w:t>
      </w:r>
      <w:r>
        <w:rPr>
          <w:lang w:val="es-AR" w:eastAsia="es-AR" w:bidi="es-AR"/>
        </w:rPr>
        <w:t xml:space="preserve">(CC0201 LP 118312 RSD 262/14 S 11/12/2014. Magistrados Votantes: López Muro-Sosa Aubone  Sumario JUBA  B257757).-</w:t>
      </w:r>
    </w:p>
    <w:p>
      <w:pPr>
        <w:pStyle w:val="[Normal]"/>
        <w:spacing w:line="360" w:lineRule="auto"/>
        <w:ind w:firstLine="1134"/>
        <w:jc w:val="both"/>
        <w:rPr>
          <w:lang w:val="es-AR" w:eastAsia="es-AR" w:bidi="es-AR"/>
        </w:rPr>
      </w:pPr>
      <w:r>
        <w:rPr>
          <w:lang w:val="es-AR" w:eastAsia="es-AR" w:bidi="es-AR"/>
        </w:rPr>
        <w:t xml:space="preserve">En consecuencia, no habiendo sido formulado oportunamente por ante el juzgador primero la circunstancias particulares del demandado que ahora pretende hacer valer al momento de expresar agravios, considerar procedente el planteo recursivo resulta violatorio del principio de congruencia, por lo que se debe rechazar el pedido de reducción intentado por la via recursiva (art. 272).-</w:t>
      </w:r>
    </w:p>
    <w:p>
      <w:pPr>
        <w:pStyle w:val="[Normal]"/>
        <w:spacing w:line="360" w:lineRule="auto"/>
        <w:ind w:firstLine="1134"/>
        <w:jc w:val="both"/>
        <w:rPr>
          <w:lang w:val="es-AR" w:eastAsia="es-AR" w:bidi="es-AR"/>
        </w:rPr>
      </w:pPr>
      <w:r>
        <w:rPr>
          <w:lang w:val="es-AR" w:eastAsia="es-AR" w:bidi="es-AR"/>
        </w:rPr>
        <w:t xml:space="preserve">Dicho lo anterior, he de considerar que ha quedado en evidencia un claro cambio en la plataforma fáctica considerada por el a quo al momento de fijar los alimentos definitivos (Exp. 36.088), y ante el pedido formulado por la incidentista, y la falta de prueba agregada por el alimentante, me llevan a proponer al acuerdo la confirmación de la nueva carga alimentaria dispuesta en contra del progenitor.</w:t>
      </w:r>
    </w:p>
    <w:p>
      <w:pPr>
        <w:pStyle w:val="[Normal]"/>
        <w:spacing w:line="360" w:lineRule="auto"/>
        <w:ind w:firstLine="1134"/>
        <w:jc w:val="both"/>
        <w:rPr>
          <w:lang w:val="es-AR" w:eastAsia="es-AR" w:bidi="es-AR"/>
        </w:rPr>
      </w:pPr>
      <w:r>
        <w:rPr>
          <w:lang w:val="es-AR" w:eastAsia="es-AR" w:bidi="es-AR"/>
        </w:rPr>
        <w:t xml:space="preserve">Cabe mencionar que "por sus especiales características y su naturaleza esencialmente asistencial, el derecho de pedir alimentos presenta una particular fisonomía de la que se desprende, entre otros caracteres, el de ser circunstancial y variable, al estar estrechamente ligado a los presupuestos de hecho que lo condicionan.  De ahí entonces, que la sentencia que reconoce y cuantifica ese derecho, no causa estado, en el sentido de que puede modificarse en la medida que cambie la plataforma fáctica tenida en cuenta por el Juez al pronunciarse (conf. Morello-Passi Lanza-Sosa-Berizonce: “Códigos…” 1ª. ed. vol. VII, pág. 290/291 y 355 ap. “a”), o cuando los hechos en los cuales se funda la pretendida modificación, aún siendo anteriores al tiempo de la sentencia, no hayan podido ser alegados y probados en razón de la limitación que el trámite del juicio impone a las partes, lo que deberá ser debidamente justificado por el interesado (conf. Fenochietto-Arazi: “Código Procesal…”, Ed. Astrea, vol. III, pág. 302, ap. 3º; Jorge L. Kielmanovich: “Incidentes de aumento, reducción, cesación y coparticipación de la cuota alimentaria”, J.A. 1990-II, pág. 813, V, 817 (45) y jurisprudencia allí citada; esta Sala, causa A43.535, reg. sent. 255/95)" (CC0201 LP 118400 RSD 16/15 S 03/03/2015B251844, JUBA B251844).-</w:t>
      </w:r>
    </w:p>
    <w:p>
      <w:pPr>
        <w:pStyle w:val="[Normal]"/>
        <w:spacing w:line="360" w:lineRule="auto"/>
        <w:ind w:firstLine="1134"/>
        <w:jc w:val="both"/>
        <w:rPr>
          <w:lang w:val="es-AR" w:eastAsia="es-AR" w:bidi="es-AR"/>
        </w:rPr>
      </w:pPr>
      <w:r>
        <w:rPr>
          <w:lang w:val="es-AR" w:eastAsia="es-AR" w:bidi="es-AR"/>
        </w:rPr>
        <w:t xml:space="preserve">Por todo lo expuesto hasta aquí y luego de un análisis estimativo y razonable del art. 659 del Código Civil y Comercial, ajustado a las circunstancias de autos (edad de la niña, modalidad de cuidado de la misma, contexto económico general, etc.), ponderando por un lado que la cuota debe guardar relación con las necesidades que tiende a cubrir y la aptitud del obligado para llenar tal finalidad, estimo razonable y propongo como resolución la confirmación en todos sus términos de la resolución atacada (arts. 163, 164, 165 y 384, C.P.C.C.).</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b/>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Manuel Degleue dijo: </w:t>
      </w:r>
    </w:p>
    <w:p>
      <w:pPr>
        <w:pStyle w:val="[Normal]"/>
        <w:spacing w:line="360" w:lineRule="auto"/>
        <w:ind w:firstLine="1134"/>
        <w:jc w:val="both"/>
        <w:rPr>
          <w:lang w:val="es-AR" w:eastAsia="es-AR" w:bidi="es-AR"/>
        </w:rPr>
      </w:pPr>
      <w:r>
        <w:rPr>
          <w:lang w:val="es-AR" w:eastAsia="es-AR" w:bidi="es-AR"/>
        </w:rPr>
        <w:t xml:space="preserve">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Desestimar el recurso de apelación deducido por la parte demandada, confirmando el decisorio de grado.-</w:t>
      </w:r>
    </w:p>
    <w:p>
      <w:pPr>
        <w:pStyle w:val="[Normal]"/>
        <w:spacing w:line="360" w:lineRule="auto"/>
        <w:ind w:firstLine="1134"/>
        <w:jc w:val="both"/>
        <w:rPr>
          <w:lang w:val="es-AR" w:eastAsia="es-AR" w:bidi="es-AR"/>
        </w:rPr>
      </w:pPr>
      <w:r>
        <w:rPr>
          <w:lang w:val="es-AR" w:eastAsia="es-AR" w:bidi="es-AR"/>
        </w:rPr>
        <w:t xml:space="preserve">Las costas al apelante perdidoso (art. 69 del CPCC y su doctrina).-</w:t>
      </w:r>
    </w:p>
    <w:p>
      <w:pPr>
        <w:pStyle w:val="[Normal]"/>
        <w:spacing w:line="360" w:lineRule="auto"/>
        <w:ind w:firstLine="1134"/>
        <w:jc w:val="both"/>
        <w:rPr>
          <w:lang w:val="es-AR" w:eastAsia="es-AR" w:bidi="es-AR"/>
        </w:rPr>
      </w:pPr>
      <w:r>
        <w:rPr>
          <w:lang w:val="es-AR" w:eastAsia="es-AR" w:bidi="es-AR"/>
        </w:rPr>
        <w:t xml:space="preserve">Regular los honorarios de las letradas por auto separado.-</w:t>
      </w:r>
    </w:p>
    <w:p>
      <w:pPr>
        <w:pStyle w:val="[Normal]"/>
        <w:spacing w:line="360" w:lineRule="auto"/>
        <w:ind w:firstLine="1134"/>
        <w:jc w:val="both"/>
        <w:rPr>
          <w:lang w:val="es-AR" w:eastAsia="es-AR" w:bidi="es-AR"/>
        </w:rPr>
      </w:pPr>
      <w:r>
        <w:rPr>
          <w:b/>
          <w:lang w:val="es-AR" w:eastAsia="es-AR" w:bidi="es-AR"/>
        </w:rPr>
        <w:t xml:space="preserve">ASI LO VOTO.</w:t>
      </w: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A la misma cuestión la señora Jueza Graciela Sacaraffia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lang w:val="es-AR" w:eastAsia="es-AR" w:bidi="es-AR"/>
        </w:rPr>
      </w:pPr>
      <w:r>
        <w:rPr>
          <w:b/>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Desestimar el recurso de apelación deducido por la parte demandada, confirmando el decisorio de grado.-</w:t>
      </w:r>
    </w:p>
    <w:p>
      <w:pPr>
        <w:pStyle w:val="[Normal]"/>
        <w:spacing w:line="360" w:lineRule="auto"/>
        <w:ind w:firstLine="1134"/>
        <w:jc w:val="both"/>
        <w:rPr>
          <w:lang w:val="es-AR" w:eastAsia="es-AR" w:bidi="es-AR"/>
        </w:rPr>
      </w:pPr>
      <w:r>
        <w:rPr>
          <w:lang w:val="es-AR" w:eastAsia="es-AR" w:bidi="es-AR"/>
        </w:rPr>
        <w:t xml:space="preserve">Las costas al apelante perdidoso (art. 69 del CPCC y su doctrina).-</w:t>
      </w:r>
    </w:p>
    <w:p>
      <w:pPr>
        <w:pStyle w:val="[Normal]"/>
        <w:spacing w:line="360" w:lineRule="auto"/>
        <w:ind w:firstLine="1134"/>
        <w:jc w:val="both"/>
        <w:rPr>
          <w:lang w:val="es-AR" w:eastAsia="es-AR" w:bidi="es-AR"/>
        </w:rPr>
      </w:pPr>
      <w:r>
        <w:rPr>
          <w:lang w:val="es-AR" w:eastAsia="es-AR" w:bidi="es-AR"/>
        </w:rPr>
        <w:t xml:space="preserve">Regular los honorarios de las letradas por auto separado.-</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rPr>
          <w:color w:val="000000"/>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