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5397-24</w:t>
      </w:r>
      <w:r>
        <w:rPr>
          <w:lang w:val="es-AR" w:eastAsia="es-AR" w:bidi="es-AR"/>
        </w:rPr>
        <w:t xml:space="preserve"> caratulada </w:t>
      </w:r>
      <w:r>
        <w:rPr>
          <w:b/>
          <w:lang w:val="es-AR" w:eastAsia="es-AR" w:bidi="es-AR"/>
        </w:rPr>
        <w:t xml:space="preserve">"</w:t>
      </w:r>
      <w:r>
        <w:rPr>
          <w:b/>
          <w:color w:val="000000"/>
          <w:lang w:val="es-AR" w:eastAsia="es-AR" w:bidi="es-AR"/>
        </w:rPr>
        <w:t xml:space="preserve">TASSI, CARMEN MARÍA S/ SUCESION AB INTESTATO</w:t>
      </w:r>
      <w:r>
        <w:rPr>
          <w:b/>
          <w:lang w:val="es-AR" w:eastAsia="es-AR" w:bidi="es-AR"/>
        </w:rPr>
        <w:t xml:space="preserve">"</w:t>
      </w:r>
      <w:r>
        <w:rPr>
          <w:lang w:val="es-AR" w:eastAsia="es-AR" w:bidi="es-AR"/>
        </w:rPr>
        <w:t xml:space="preserve">, Expte. N° 19208</w:t>
      </w:r>
      <w:r>
        <w:rPr>
          <w:color w:val="000000"/>
          <w:lang w:val="es-AR" w:eastAsia="es-AR" w:bidi="es-AR"/>
        </w:rPr>
        <w:t xml:space="preserve"> </w:t>
      </w:r>
      <w:r>
        <w:rPr>
          <w:lang w:val="es-AR" w:eastAsia="es-AR" w:bidi="es-AR"/>
        </w:rPr>
        <w:t xml:space="preserve">del Juzgado de Paz Letrado de Colón</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Jueza de la anterior sede rechazó la nulidad articulada por el síndico de la quiebra de Lastra y Marcantonio SCA. Impuso las costas a la vencida. Difirió la regulación de los honorarios de los  profesionales  intervinientes.-</w:t>
      </w:r>
    </w:p>
    <w:p>
      <w:pPr>
        <w:pStyle w:val="[Normal]"/>
        <w:spacing w:line="360" w:lineRule="auto"/>
        <w:ind w:firstLine="1134"/>
        <w:jc w:val="both"/>
        <w:rPr>
          <w:lang w:val="es-AR" w:eastAsia="es-AR" w:bidi="es-AR"/>
        </w:rPr>
      </w:pPr>
      <w:r>
        <w:rPr>
          <w:lang w:val="es-AR" w:eastAsia="es-AR" w:bidi="es-AR"/>
        </w:rPr>
        <w:t xml:space="preserve">Para así decidir, consideró que el síndico tenia conocimiento de los actos cuya nulidad solicita con anterioridad al 31/05/2023 y sin embargo realizó la presentación electrónica solicitando se declare la nulidad parcial de la planilla de declaración jurada patrimonial y la resolución que ordena inscribir el inmueble a nombre de los herederos el 14/07/2023 cuando ya había transcurrido el plazo de 5 días previsto en el artículo 170 del CPCC.-</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el 5-9-2025 el Síndico Luis Alberto Conti quien funda el recurso en el mismo acto. Conferido el traslado pertinente es contestado por María Jose Mendizabal el 29-9-2025.</w:t>
      </w:r>
    </w:p>
    <w:p>
      <w:pPr>
        <w:pStyle w:val="[Normal]"/>
        <w:spacing w:line="360" w:lineRule="auto"/>
        <w:ind w:firstLine="1134"/>
        <w:jc w:val="both"/>
        <w:rPr>
          <w:lang w:val="es-AR" w:eastAsia="es-AR" w:bidi="es-AR"/>
        </w:rPr>
      </w:pPr>
      <w:r>
        <w:rPr>
          <w:lang w:val="es-AR" w:eastAsia="es-AR" w:bidi="es-AR"/>
        </w:rPr>
        <w:t xml:space="preserve">Elevados los autos a esta Alzada el 23-10-2025 llamamiento de autos para resolver providencia que estando firme a la fecha deja la causa en condiciones de ser resuelta.-</w:t>
      </w:r>
    </w:p>
    <w:p>
      <w:pPr>
        <w:pStyle w:val="[Normal]"/>
        <w:spacing w:line="360" w:lineRule="auto"/>
        <w:ind w:firstLine="1134"/>
        <w:jc w:val="both"/>
        <w:rPr>
          <w:color w:val="000000"/>
          <w:lang w:val="es-AR" w:eastAsia="es-AR" w:bidi="es-AR"/>
        </w:rPr>
      </w:pPr>
      <w:r>
        <w:rPr>
          <w:color w:val="000000"/>
          <w:lang w:val="es-AR" w:eastAsia="es-AR" w:bidi="es-AR"/>
        </w:rPr>
        <w:t xml:space="preserve">Reordenando las piezas procesales de la causa, deviene relevante reseñar que la resolución apelada rechazó el planteo de nulidad promovido por el síndico respecto de la planilla de declaración jurada patrimonial (fs. 54) y de la decisión que dispuso inscribir 8/32 avas partes del inmueble rural ubicado en Wheelwright (Santa Fe) a nombre de los herederos.	</w:t>
        <w:br w:type="textWrapping"/>
      </w:r>
      <w:r>
        <w:rPr>
          <w:color w:val="000000"/>
          <w:lang w:val="es-AR" w:eastAsia="es-AR" w:bidi="es-AR"/>
        </w:rPr>
        <w:t xml:space="preserve"> 	El a quo reconoció la legitimación de la sindicatura como tercero con interés patrimonial, y tuvo por cumplida la exteriorización del perjuicio e interés (art. 172 CPCC), pero descartó la procedencia por incumplimiento del requisito temporal del art. 170 CPCC. 	</w:t>
        <w:br w:type="textWrapping"/>
      </w:r>
      <w:r>
        <w:rPr>
          <w:color w:val="000000"/>
          <w:lang w:val="es-AR" w:eastAsia="es-AR" w:bidi="es-AR"/>
        </w:rPr>
        <w:t xml:space="preserve"> 	Para así decidir, sostuvo que el síndico conocía los actos con anterioridad al 31/05/2023 y, pese a ello articuló la nulidad el 14/07/2023, excediendo el plazo de cinco días, con lo cual los tuvo por consentidos.  	</w:t>
        <w:br w:type="textWrapping"/>
      </w:r>
      <w:r>
        <w:rPr>
          <w:color w:val="000000"/>
          <w:lang w:val="es-AR" w:eastAsia="es-AR" w:bidi="es-AR"/>
        </w:rPr>
        <w:t xml:space="preserve"> 	Asimismo añadió que la orden de inscripción se dictó sobre la base de datos registrales, sin constancia entonces de la cesión invocada, y que desde el juzgado no se libró comunicación al Registro a los fines de efectivizar la inscripción.</w:t>
      </w:r>
    </w:p>
    <w:p>
      <w:pPr>
        <w:pStyle w:val="[Normal]"/>
        <w:spacing w:line="360" w:lineRule="auto"/>
        <w:jc w:val="both"/>
        <w:rPr>
          <w:color w:val="000000"/>
          <w:lang w:val="es-AR" w:eastAsia="es-AR" w:bidi="es-AR"/>
        </w:rPr>
      </w:pPr>
      <w:r>
        <w:rPr>
          <w:color w:val="000000"/>
          <w:lang w:val="es-AR" w:eastAsia="es-AR" w:bidi="es-AR"/>
        </w:rPr>
        <w:t xml:space="preserve"> 	Contra lo dispuesto, el recurrente deduce recurso de apelación. En sustento de su crítica recursiva, plantea los siguientes puntos de agravios: </w:t>
      </w:r>
    </w:p>
    <w:p>
      <w:pPr>
        <w:pStyle w:val="[Normal]"/>
        <w:spacing w:line="360" w:lineRule="auto"/>
        <w:jc w:val="both"/>
        <w:rPr>
          <w:color w:val="000000"/>
          <w:lang w:val="es-AR" w:eastAsia="es-AR" w:bidi="es-AR"/>
        </w:rPr>
      </w:pPr>
      <w:r>
        <w:rPr>
          <w:color w:val="000000"/>
          <w:lang w:val="es-AR" w:eastAsia="es-AR" w:bidi="es-AR"/>
        </w:rPr>
        <w:t xml:space="preserve"> 	1) Erróneo encuadre jurídico del planteo y aplicación indebida del régimen de nulidades procesales. Arguye que el a quo calificó su pretensión como nulidad procesal y la rechazó por art. 170 CPCC (plazo de cinco días), cuando en realidad se pidió la nulidad absoluta o “sustancial” por violación del principio nemo plus iuris (arts. 3270 CC y 399 CCyC), derivada de que la causante habría transmitido/inscripto como propio un bien (60 ha) que ya no integraba su patrimonio al fallecer por haberlo cedido.</w:t>
      </w:r>
    </w:p>
    <w:p>
      <w:pPr>
        <w:pStyle w:val="[Normal]"/>
        <w:spacing w:line="360" w:lineRule="auto"/>
        <w:jc w:val="both"/>
        <w:rPr>
          <w:color w:val="000000"/>
          <w:lang w:val="es-AR" w:eastAsia="es-AR" w:bidi="es-AR"/>
        </w:rPr>
      </w:pPr>
      <w:r>
        <w:rPr>
          <w:color w:val="000000"/>
          <w:lang w:val="es-AR" w:eastAsia="es-AR" w:bidi="es-AR"/>
        </w:rPr>
        <w:t xml:space="preserve"> 	2) Omisión de tratamiento del fondo sustancial y falta de fundamentación. Alega arbitrariedad porque la resolución no habría dado tratamiento específico al planteo basado en derecho de fondo (cesión de 1992, pérdida de titularidad de 60 ha, límites del derecho transmitible), limitándose a negar vicios “procesales” y a sostener que la inscripción se dictó según informes registrales.</w:t>
      </w:r>
    </w:p>
    <w:p>
      <w:pPr>
        <w:pStyle w:val="[Normal]"/>
        <w:spacing w:line="360" w:lineRule="auto"/>
        <w:jc w:val="both"/>
        <w:rPr>
          <w:color w:val="000000"/>
          <w:lang w:val="es-AR" w:eastAsia="es-AR" w:bidi="es-AR"/>
        </w:rPr>
      </w:pPr>
      <w:r>
        <w:rPr>
          <w:color w:val="000000"/>
          <w:lang w:val="es-AR" w:eastAsia="es-AR" w:bidi="es-AR"/>
        </w:rPr>
        <w:t xml:space="preserve"> 	3) Existencia de engaño/fraude en la denuncia de bienes y afectación del orden público. Afirma que la planilla denunciando el 8/32 como acervo hereditario habría sido “mentirosa” y que el juzgado habría sido inducido a error, lo que tornaría inexistente o absolutamente nula, al menos respecto de las 60 ha. Conecta esto con su rol de síndico en un proceso universal y la tutela de intereses de acreedores.</w:t>
      </w:r>
    </w:p>
    <w:p>
      <w:pPr>
        <w:pStyle w:val="[Normal]"/>
        <w:spacing w:line="360" w:lineRule="auto"/>
        <w:jc w:val="both"/>
        <w:rPr>
          <w:color w:val="000000"/>
          <w:lang w:val="es-AR" w:eastAsia="es-AR" w:bidi="es-AR"/>
        </w:rPr>
      </w:pPr>
      <w:r>
        <w:rPr>
          <w:color w:val="000000"/>
          <w:lang w:val="es-AR" w:eastAsia="es-AR" w:bidi="es-AR"/>
        </w:rPr>
        <w:t xml:space="preserve"> 	4) Inaplicabilidad del art. 170 CPCC a su situación y, subsidiariamente, justificación temporal. Argumenta que no era parte al momento de los actos y que no puede oponérsele la preclusión del art. 170; además, dice que su actuación exigió investigación para corroborar cesiones y antecedentes, lo que vuelve irrazonable exigir la promoción dentro de cinco días.</w:t>
      </w:r>
    </w:p>
    <w:p>
      <w:pPr>
        <w:pStyle w:val="[Normal]"/>
        <w:spacing w:line="360" w:lineRule="auto"/>
        <w:jc w:val="both"/>
        <w:rPr>
          <w:color w:val="000000"/>
          <w:lang w:val="es-AR" w:eastAsia="es-AR" w:bidi="es-AR"/>
        </w:rPr>
      </w:pPr>
      <w:r>
        <w:rPr>
          <w:color w:val="000000"/>
          <w:lang w:val="es-AR" w:eastAsia="es-AR" w:bidi="es-AR"/>
        </w:rPr>
        <w:t xml:space="preserve"> 	5) Contradicción por absurdo jurisdiccional con decisiones del sucesorio de Matías Mendizábal y con el plano penal. Plantea que otro juez del mismo departamento (en el sucesorio de Matías Mendizábal) habría ordenado en forma sostenida que 60 ha corresponden a Lastra y Marcantonio por cesión, y que mantener la decisión apelada produciría un “absurdo” por incompatibilidad práctica. Agrega la existencia de una causa penal por estafa procesal elevada a juicio vinculada al mismo hecho.</w:t>
      </w:r>
    </w:p>
    <w:p>
      <w:pPr>
        <w:pStyle w:val="[Normal]"/>
        <w:spacing w:line="360" w:lineRule="auto"/>
        <w:jc w:val="both"/>
        <w:rPr>
          <w:color w:val="000000"/>
          <w:lang w:val="es-AR" w:eastAsia="es-AR" w:bidi="es-AR"/>
        </w:rPr>
      </w:pPr>
      <w:r>
        <w:rPr>
          <w:color w:val="000000"/>
          <w:lang w:val="es-AR" w:eastAsia="es-AR" w:bidi="es-AR"/>
        </w:rPr>
        <w:t xml:space="preserve"> 	6) Crítica a la valoración del estado registral y a la actividad informativa en el sucesorio. Objeta que la apelada afirme que de los datos registrales “no surge” cesión, porque sostiene que la cesión estaría inscripta en el Registro General Rosario; y reprocha que no se habría pedido el informe registral adecuado para detectar cesiones, ni otras constancias (p.ej. inhibiciones), lo que habría favorecido el “engaño”.</w:t>
      </w:r>
    </w:p>
    <w:p>
      <w:pPr>
        <w:pStyle w:val="[Normal]"/>
        <w:spacing w:line="360" w:lineRule="auto"/>
        <w:jc w:val="both"/>
        <w:rPr>
          <w:color w:val="000000"/>
          <w:lang w:val="es-AR" w:eastAsia="es-AR" w:bidi="es-AR"/>
        </w:rPr>
      </w:pPr>
      <w:r>
        <w:rPr>
          <w:color w:val="000000"/>
          <w:lang w:val="es-AR" w:eastAsia="es-AR" w:bidi="es-AR"/>
        </w:rPr>
        <w:t xml:space="preserve"> 	A su turno, la heredera María José Mendizábal contesta el traslado del memorial de la sindicatura y pide su rechazo total. </w:t>
      </w:r>
    </w:p>
    <w:p>
      <w:pPr>
        <w:pStyle w:val="[Normal]"/>
        <w:spacing w:line="360" w:lineRule="auto"/>
        <w:jc w:val="both"/>
        <w:rPr>
          <w:color w:val="000000"/>
          <w:lang w:val="es-AR" w:eastAsia="es-AR" w:bidi="es-AR"/>
        </w:rPr>
      </w:pPr>
      <w:r>
        <w:rPr>
          <w:color w:val="000000"/>
          <w:lang w:val="es-AR" w:eastAsia="es-AR" w:bidi="es-AR"/>
        </w:rPr>
        <w:t xml:space="preserve"> 	Afirma que la resolución del 25/08/2025 es ajustada a derecho porque el incidente de nulidad no cumple los requisitos de procedencia. En particular, destaca que la causa fue remitida al Juzgado Civil y Comercial N° 3 el 18/05/2023 y que el letrado del síndico manifestó haber compulsado íntegramente el sucesorio el 31/05/2023. </w:t>
      </w:r>
    </w:p>
    <w:p>
      <w:pPr>
        <w:pStyle w:val="[Normal]"/>
        <w:spacing w:line="360" w:lineRule="auto"/>
        <w:jc w:val="both"/>
        <w:rPr>
          <w:color w:val="000000"/>
          <w:lang w:val="es-AR" w:eastAsia="es-AR" w:bidi="es-AR"/>
        </w:rPr>
      </w:pPr>
      <w:r>
        <w:rPr>
          <w:color w:val="000000"/>
          <w:lang w:val="es-AR" w:eastAsia="es-AR" w:bidi="es-AR"/>
        </w:rPr>
        <w:t xml:space="preserve"> 	Concluye que, como el síndico promovió la nulidad recién el 14/07/2023, lo hizo fuera del plazo de cinco días del art. 170 CPCC y los actos quedaron tácitamente consentidos. </w:t>
      </w:r>
    </w:p>
    <w:p>
      <w:pPr>
        <w:pStyle w:val="[Normal]"/>
        <w:spacing w:line="360" w:lineRule="auto"/>
        <w:jc w:val="both"/>
        <w:rPr>
          <w:color w:val="000000"/>
          <w:lang w:val="es-AR" w:eastAsia="es-AR" w:bidi="es-AR"/>
        </w:rPr>
      </w:pPr>
      <w:r>
        <w:rPr>
          <w:color w:val="000000"/>
          <w:lang w:val="es-AR" w:eastAsia="es-AR" w:bidi="es-AR"/>
        </w:rPr>
        <w:t xml:space="preserve"> 	Agrega que la inscripción de la declaratoria dispuesta en 2020 se dictó con base en informes del Registro General de Rosario, de los cuales no surgía cesión alguna, por lo que no había vicio procesal. </w:t>
      </w:r>
    </w:p>
    <w:p>
      <w:pPr>
        <w:pStyle w:val="[Normal]"/>
        <w:spacing w:line="360" w:lineRule="auto"/>
        <w:jc w:val="both"/>
        <w:rPr>
          <w:color w:val="000000"/>
          <w:lang w:val="es-AR" w:eastAsia="es-AR" w:bidi="es-AR"/>
        </w:rPr>
      </w:pPr>
      <w:r>
        <w:rPr>
          <w:color w:val="000000"/>
          <w:lang w:val="es-AR" w:eastAsia="es-AR" w:bidi="es-AR"/>
        </w:rPr>
        <w:t xml:space="preserve"> 	Sostiene que repetir antecedentes no altera la </w:t>
      </w:r>
      <w:r>
        <w:rPr>
          <w:i/>
          <w:color w:val="000000"/>
          <w:lang w:val="es-AR" w:eastAsia="es-AR" w:bidi="es-AR"/>
        </w:rPr>
        <w:t xml:space="preserve">“contundencia”</w:t>
      </w:r>
      <w:r>
        <w:rPr>
          <w:color w:val="000000"/>
          <w:lang w:val="es-AR" w:eastAsia="es-AR" w:bidi="es-AR"/>
        </w:rPr>
        <w:t xml:space="preserve"> de esos hechos. Aduce además que el síndico pretende hacer valer hechos de más de tres décadas que no fueron ratificados con actos pertinentes, como la inscripción registral. Afirma que todo estaría prescripto e insinúa que el accionar del síndico responde a intereses personales y no a los de la masa. Por ello, solicita que se confirme la sentencia apelada en todos sus términos, con costas al apelante.</w:t>
      </w:r>
    </w:p>
    <w:p>
      <w:pPr>
        <w:pStyle w:val="[Normal]"/>
        <w:spacing w:line="360" w:lineRule="auto"/>
        <w:jc w:val="both"/>
        <w:rPr>
          <w:color w:val="000000"/>
          <w:lang w:val="es-AR" w:eastAsia="es-AR" w:bidi="es-AR"/>
        </w:rPr>
      </w:pPr>
      <w:r>
        <w:rPr>
          <w:color w:val="000000"/>
          <w:lang w:val="es-AR" w:eastAsia="es-AR" w:bidi="es-AR"/>
        </w:rPr>
        <w:t xml:space="preserve">	 Finalmente, formula reserva del caso federal conforme el art. 14 de la ley 48.</w:t>
      </w:r>
    </w:p>
    <w:p>
      <w:pPr>
        <w:pStyle w:val="[Normal]"/>
        <w:spacing w:line="360" w:lineRule="auto"/>
        <w:jc w:val="both"/>
        <w:rPr>
          <w:color w:val="000000"/>
          <w:lang w:val="es-AR" w:eastAsia="es-AR" w:bidi="es-AR"/>
        </w:rPr>
      </w:pPr>
      <w:r>
        <w:rPr>
          <w:color w:val="000000"/>
          <w:lang w:val="es-AR" w:eastAsia="es-AR" w:bidi="es-AR"/>
        </w:rPr>
        <w:t xml:space="preserve"> 	Entrando a resolver, advierto que la cuestión litigiosa sometida a revisión gira en punto a determinar si corresponde revocar o confirmar la resolución del Juzgado de Paz de Colón que rechazó el planteo de nulidad promovido por la sindicatura de </w:t>
      </w:r>
      <w:r>
        <w:rPr>
          <w:i/>
          <w:color w:val="000000"/>
          <w:lang w:val="es-AR" w:eastAsia="es-AR" w:bidi="es-AR"/>
        </w:rPr>
        <w:t xml:space="preserve">“Lastra y Marcantonio SCA s/ quiebra</w:t>
      </w:r>
      <w:r>
        <w:rPr>
          <w:color w:val="000000"/>
          <w:lang w:val="es-AR" w:eastAsia="es-AR" w:bidi="es-AR"/>
        </w:rPr>
        <w:t xml:space="preserve">” contra la planilla de denuncia de bienes y la decisión de inscribir a nombre de los herederos 8/32 avas partes de un inmueble rural en Wheelwright (Santa Fe), con el argumento de que una porción (60 hectáreas) ya habría sido cedida por la causante en vida y, por ende, no integraba el acervo, y si, para decidirlo, corresponde aplicar el régimen de nulidades procesales -en particular, la preclusión del art. 170 CPCC por conocimiento previo y presentación fuera de plazo- o, como sostiene el apelante, priman razones de orden público y derecho sustancial que tornarían inaplicable ese valladar temporal a su posición de tercero/síndico.</w:t>
      </w:r>
    </w:p>
    <w:p>
      <w:pPr>
        <w:pStyle w:val="[Normal]"/>
        <w:spacing w:line="360" w:lineRule="auto"/>
        <w:jc w:val="both"/>
        <w:rPr>
          <w:color w:val="000000"/>
          <w:lang w:val="es-AR" w:eastAsia="es-AR" w:bidi="es-AR"/>
        </w:rPr>
      </w:pPr>
      <w:r>
        <w:rPr>
          <w:color w:val="000000"/>
          <w:lang w:val="es-AR" w:eastAsia="es-AR" w:bidi="es-AR"/>
        </w:rPr>
        <w:t xml:space="preserve"> 	I.- Ingresando en el primer punto de queja, entiendo que el agravio central no puede prosperar.</w:t>
      </w:r>
    </w:p>
    <w:p>
      <w:pPr>
        <w:pStyle w:val="[Normal]"/>
        <w:spacing w:line="360" w:lineRule="auto"/>
        <w:jc w:val="both"/>
        <w:rPr>
          <w:color w:val="000000"/>
          <w:lang w:val="es-AR" w:eastAsia="es-AR" w:bidi="es-AR"/>
        </w:rPr>
      </w:pPr>
      <w:r>
        <w:rPr>
          <w:color w:val="000000"/>
          <w:lang w:val="es-AR" w:eastAsia="es-AR" w:bidi="es-AR"/>
        </w:rPr>
        <w:t xml:space="preserve"> 	Sin desconocer el loable esfuerzo argumentativo desplegado por el letrado del recurrente en punto a justificar la calificación de su pretensión como </w:t>
      </w:r>
      <w:r>
        <w:rPr>
          <w:i/>
          <w:color w:val="000000"/>
          <w:lang w:val="es-AR" w:eastAsia="es-AR" w:bidi="es-AR"/>
        </w:rPr>
        <w:t xml:space="preserve">“nulidad sustancial”</w:t>
      </w:r>
      <w:r>
        <w:rPr>
          <w:color w:val="000000"/>
          <w:lang w:val="es-AR" w:eastAsia="es-AR" w:bidi="es-AR"/>
        </w:rPr>
        <w:t xml:space="preserve">, lo dirimente aquí es el objeto procesal perseguido en este expediente: en autos, se solicitó la nulidad de una presentación incorporada al sucesorio (planilla/denuncia de bienes) y de una resolución judicial vinculada a la inscripción dominial. 	</w:t>
        <w:br w:type="textWrapping"/>
      </w:r>
      <w:r>
        <w:rPr>
          <w:color w:val="000000"/>
          <w:lang w:val="es-AR" w:eastAsia="es-AR" w:bidi="es-AR"/>
        </w:rPr>
        <w:t xml:space="preserve"> 	Ese tipo de invalidación, en el cauce del sucesorio, se rige por el régimen de nulidades del CPCC (arts. 169 a 172), incluyendo el recaudo temporal del art. 170, cuya finalidad es evitar que la nulidad se transforme en una vía de revisión tardía de actos ya estabilizados por consentimiento. En otras palabras, el tribunal no está atado a la etiqueta utilizada por la parte, sino a la naturaleza y efectos del remedio intentado.	</w:t>
        <w:br w:type="textWrapping"/>
      </w:r>
      <w:r>
        <w:rPr>
          <w:color w:val="000000"/>
          <w:lang w:val="es-AR" w:eastAsia="es-AR" w:bidi="es-AR"/>
        </w:rPr>
        <w:t xml:space="preserve"> 	En ese marco, el apelante no logra desvirtuar el fundamento principal del rechazo: el a quo tuvo por acreditado que, como mínimo desde el 31/05/2023, el letrado del síndico había compulsado íntegramente las actuaciones del sucesorio, y que la nulidad fue introducida recién el 14/07/2023, fuera del plazo legal, lo que conduce al consentimiento tácito del acto cuestionado en los términos del art. 170 CPCC. El memorial, al insistir en que se trata de una nulidad </w:t>
      </w:r>
      <w:r>
        <w:rPr>
          <w:i/>
          <w:color w:val="000000"/>
          <w:lang w:val="es-AR" w:eastAsia="es-AR" w:bidi="es-AR"/>
        </w:rPr>
        <w:t xml:space="preserve">“sustancial”</w:t>
      </w:r>
      <w:r>
        <w:rPr>
          <w:color w:val="000000"/>
          <w:lang w:val="es-AR" w:eastAsia="es-AR" w:bidi="es-AR"/>
        </w:rPr>
        <w:t xml:space="preserve">, no aporta una explicación idónea que desplace el término inicial de cómputo por la resolución ni demuestra por qué, aun aceptando el conocimiento en mayo de 2023, el planteo no quedaba alcanzado por la preclusión.</w:t>
      </w:r>
    </w:p>
    <w:p>
      <w:pPr>
        <w:pStyle w:val="[Normal]"/>
        <w:spacing w:line="360" w:lineRule="auto"/>
        <w:jc w:val="both"/>
        <w:rPr>
          <w:color w:val="000000"/>
          <w:lang w:val="es-AR" w:eastAsia="es-AR" w:bidi="es-AR"/>
        </w:rPr>
      </w:pPr>
      <w:r>
        <w:rPr>
          <w:color w:val="000000"/>
          <w:lang w:val="es-AR" w:eastAsia="es-AR" w:bidi="es-AR"/>
        </w:rPr>
        <w:t xml:space="preserve"> 	Tampoco modifica la solución la invocación del principio </w:t>
      </w:r>
      <w:r>
        <w:rPr>
          <w:i/>
          <w:color w:val="000000"/>
          <w:lang w:val="es-AR" w:eastAsia="es-AR" w:bidi="es-AR"/>
        </w:rPr>
        <w:t xml:space="preserve">nemo plus iuris</w:t>
      </w:r>
      <w:r>
        <w:rPr>
          <w:color w:val="000000"/>
          <w:lang w:val="es-AR" w:eastAsia="es-AR" w:bidi="es-AR"/>
        </w:rPr>
        <w:t xml:space="preserve">. Aun concediendo hipotéticamente que existiera un conflicto sustancial sobre la extensión u oponibilidad de la cesión de 1992 y su reflejo registral, ello no convierte, por sí, en</w:t>
      </w:r>
      <w:r>
        <w:rPr>
          <w:i/>
          <w:color w:val="000000"/>
          <w:lang w:val="es-AR" w:eastAsia="es-AR" w:bidi="es-AR"/>
        </w:rPr>
        <w:t xml:space="preserve"> “nulos”</w:t>
      </w:r>
      <w:r>
        <w:rPr>
          <w:color w:val="000000"/>
          <w:lang w:val="es-AR" w:eastAsia="es-AR" w:bidi="es-AR"/>
        </w:rPr>
        <w:t xml:space="preserve"> los actos procesales atacados en este incidente, ni habilita a prescindir del régimen de nulidades procesales cuando lo que se pretende es retrotraer lo actuado dentro del expediente sucesorio. 	</w:t>
        <w:br w:type="textWrapping"/>
      </w:r>
      <w:r>
        <w:rPr>
          <w:color w:val="000000"/>
          <w:lang w:val="es-AR" w:eastAsia="es-AR" w:bidi="es-AR"/>
        </w:rPr>
        <w:t xml:space="preserve"> 	El eventual derecho del cesionario (o de la fallida), requieren un carril propio (rectificación, declaración de inoponibilidad, adecuación registral, o el trámite que corresponda según el estado registral y los expedientes conexos), con debate y prueba sobre la situación dominial y la oponibilidad, y no la pura invalidación por nulidad procesal extemporánea.	</w:t>
        <w:br w:type="textWrapping"/>
      </w:r>
      <w:r>
        <w:rPr>
          <w:color w:val="000000"/>
          <w:lang w:val="es-AR" w:eastAsia="es-AR" w:bidi="es-AR"/>
        </w:rPr>
        <w:t xml:space="preserve"> 	Cabe añadir, además, que la sindicatura no comparece en estos supuestos como un mero tercero interesado, sino como órgano del proceso concursal y funcionario del concurso, con responsabilidades propias en la tutela del patrimonio sometido al proceso universal (art. 251, Ley 24.522).</w:t>
      </w:r>
    </w:p>
    <w:p>
      <w:pPr>
        <w:pStyle w:val="[Normal]"/>
        <w:spacing w:line="360" w:lineRule="auto"/>
        <w:jc w:val="both"/>
        <w:rPr>
          <w:color w:val="000000"/>
          <w:lang w:val="es-AR" w:eastAsia="es-AR" w:bidi="es-AR"/>
        </w:rPr>
      </w:pPr>
      <w:r>
        <w:rPr>
          <w:color w:val="000000"/>
          <w:lang w:val="es-AR" w:eastAsia="es-AR" w:bidi="es-AR"/>
        </w:rPr>
        <w:t xml:space="preserve"> 	Desde esa perspectiva, su función exige una actuación diligente y proactiva orientada a preservar e integrar el activo: investigar la situación patrimonial relevante, promover las peticiones necesarias para la rápida tramitación y requerir, en su caso, las medidas y constancias conducentes para esclarecer y encauzar correctamente la cuestión dominial involucrada (art. 275, Ley 24.522). </w:t>
      </w:r>
    </w:p>
    <w:p>
      <w:pPr>
        <w:pStyle w:val="[Normal]"/>
        <w:spacing w:line="360" w:lineRule="auto"/>
        <w:jc w:val="both"/>
        <w:rPr>
          <w:color w:val="000000"/>
          <w:lang w:val="es-AR" w:eastAsia="es-AR" w:bidi="es-AR"/>
        </w:rPr>
      </w:pPr>
      <w:r>
        <w:rPr>
          <w:color w:val="000000"/>
          <w:lang w:val="es-AR" w:eastAsia="es-AR" w:bidi="es-AR"/>
        </w:rPr>
        <w:t xml:space="preserve"> 	A ello se suma que, en el marco de la quiebra, el síndico tiene la administración de los bienes y debe intervenir en la disposición en la medida prevista por la ley, lo que refuerza su carga de desplegar los medios procesales idóneos para evitar la frustración o indebida exclusión de activos (art. 109, Ley 24.522). </w:t>
      </w:r>
    </w:p>
    <w:p>
      <w:pPr>
        <w:pStyle w:val="[Normal]"/>
        <w:spacing w:line="360" w:lineRule="auto"/>
        <w:jc w:val="both"/>
        <w:rPr>
          <w:color w:val="000000"/>
          <w:lang w:val="es-AR" w:eastAsia="es-AR" w:bidi="es-AR"/>
        </w:rPr>
      </w:pPr>
      <w:r>
        <w:rPr>
          <w:color w:val="000000"/>
          <w:lang w:val="es-AR" w:eastAsia="es-AR" w:bidi="es-AR"/>
        </w:rPr>
        <w:t xml:space="preserve"> 	En ese marco, si se advertía una situación presuntamente equívoca respecto del bien en el sucesorio, le correspondía priorizar las herramientas aptas para regularizar y, en su caso, recomponer la situación patrimonial y registral discutida en lugar de acudir sin más a la nulidad procesal, remedio excepcional que no suple la falta de utilización oportuna de las vías específicamente orientadas a alcanzar la finalidad de tutela de la masa.	</w:t>
        <w:br w:type="textWrapping"/>
      </w:r>
      <w:r>
        <w:rPr>
          <w:color w:val="000000"/>
          <w:lang w:val="es-AR" w:eastAsia="es-AR" w:bidi="es-AR"/>
        </w:rPr>
        <w:t xml:space="preserve">	II.- El segundo agravio vinculado </w:t>
      </w:r>
      <w:r>
        <w:rPr>
          <w:i/>
          <w:color w:val="000000"/>
          <w:lang w:val="es-AR" w:eastAsia="es-AR" w:bidi="es-AR"/>
        </w:rPr>
        <w:t xml:space="preserve">“omisión de tratamiento del fondo sustancial”</w:t>
      </w:r>
      <w:r>
        <w:rPr>
          <w:color w:val="000000"/>
          <w:lang w:val="es-AR" w:eastAsia="es-AR" w:bidi="es-AR"/>
        </w:rPr>
        <w:t xml:space="preserve"> y </w:t>
      </w:r>
      <w:r>
        <w:rPr>
          <w:i/>
          <w:color w:val="000000"/>
          <w:lang w:val="es-AR" w:eastAsia="es-AR" w:bidi="es-AR"/>
        </w:rPr>
        <w:t xml:space="preserve">“falta de fundamentación”</w:t>
      </w:r>
      <w:r>
        <w:rPr>
          <w:color w:val="000000"/>
          <w:lang w:val="es-AR" w:eastAsia="es-AR" w:bidi="es-AR"/>
        </w:rPr>
        <w:t xml:space="preserve"> tampoco resulta atendible, por cuanto la resolución apelada sí dio una respuesta jurídicamente suficiente a la pretensión tal como fue articulada en el expediente.	</w:t>
        <w:br w:type="textWrapping"/>
      </w:r>
      <w:r>
        <w:rPr>
          <w:color w:val="000000"/>
          <w:lang w:val="es-AR" w:eastAsia="es-AR" w:bidi="es-AR"/>
        </w:rPr>
        <w:t xml:space="preserve"> 	En efecto, la jueza de grado estructuró la decisión desde el prisma propio del incidente de nulidad de actos procesales (arts. 169 a 172 CPCC) y, dentro de ese régimen, consideró dirimente el recaudo temporal del art. 170 CPCC: tuvo por acreditado que el síndico conocía los actos antes del 31/05/2023 y que, pese a ello, promovió el pedido el 14/07/2023, por lo que declaró operada la preclusión y el consentimiento tácito. Con esa conclusión, el tribunal quedaba habilitado a desestimar el planteo sin ingresar a debatir exhaustivamente la cuestión dominial o la eficacia sustancial de la cesión invocada, ya que la nulidad procesal exige, como umbral, tempestividad.	</w:t>
        <w:br w:type="textWrapping"/>
      </w:r>
      <w:r>
        <w:rPr>
          <w:color w:val="000000"/>
          <w:lang w:val="es-AR" w:eastAsia="es-AR" w:bidi="es-AR"/>
        </w:rPr>
        <w:t xml:space="preserve"> 	Aun así, la resolución no se limitó a una fórmula vacía: agregó una respuesta sobre el núcleo fáctico que el recurrente presenta como “fondo”, señalando que la inscripción cuestionada (10/06/2020) se dictó conforme los datos registrales aportados por el Registro General de Rosario y que de esos informes no surgía la cesión alegada. Además dejó asentado que desde el juzgado no se libró comunicación al Registro para efectivizar la inscripción. 	</w:t>
        <w:br w:type="textWrapping"/>
      </w:r>
      <w:r>
        <w:rPr>
          <w:color w:val="000000"/>
          <w:lang w:val="es-AR" w:eastAsia="es-AR" w:bidi="es-AR"/>
        </w:rPr>
        <w:t xml:space="preserve"> 	Esa motivación, compartible o no en su acierto, es concreta y permite reconstruir el razonamiento decisorio, lo que descarta el reproche de arbitrariedad por falta de fundamentos.</w:t>
      </w:r>
    </w:p>
    <w:p>
      <w:pPr>
        <w:pStyle w:val="[Normal]"/>
        <w:spacing w:line="360" w:lineRule="auto"/>
        <w:jc w:val="both"/>
        <w:rPr>
          <w:color w:val="000000"/>
          <w:lang w:val="es-AR" w:eastAsia="es-AR" w:bidi="es-AR"/>
        </w:rPr>
      </w:pPr>
      <w:r>
        <w:rPr>
          <w:color w:val="000000"/>
          <w:lang w:val="es-AR" w:eastAsia="es-AR" w:bidi="es-AR"/>
        </w:rPr>
        <w:t xml:space="preserve"> 	En síntesis, no hay omisión invalidante: la jueza trató la cuestión decisiva (admisibilidad del remedio por art. 170 CPCC) y, adicionalmente, explicitó razones vinculadas al cuadro registral considerado al tiempo de la decisión, de modo que el agravio debe rechazarse.</w:t>
      </w:r>
    </w:p>
    <w:p>
      <w:pPr>
        <w:pStyle w:val="[Normal]"/>
        <w:spacing w:line="360" w:lineRule="auto"/>
        <w:jc w:val="both"/>
        <w:rPr>
          <w:color w:val="000000"/>
          <w:lang w:val="es-AR" w:eastAsia="es-AR" w:bidi="es-AR"/>
        </w:rPr>
      </w:pPr>
      <w:r>
        <w:rPr>
          <w:color w:val="000000"/>
          <w:lang w:val="es-AR" w:eastAsia="es-AR" w:bidi="es-AR"/>
        </w:rPr>
        <w:t xml:space="preserve"> 	III.- En lo relativo al tercer agravio, el apelante sostiene enfáticamente que la planilla de denuncia de bienes fue</w:t>
      </w:r>
      <w:r>
        <w:rPr>
          <w:i/>
          <w:color w:val="000000"/>
          <w:lang w:val="es-AR" w:eastAsia="es-AR" w:bidi="es-AR"/>
        </w:rPr>
        <w:t xml:space="preserve"> “mentirosa”</w:t>
      </w:r>
      <w:r>
        <w:rPr>
          <w:color w:val="000000"/>
          <w:lang w:val="es-AR" w:eastAsia="es-AR" w:bidi="es-AR"/>
        </w:rPr>
        <w:t xml:space="preserve">, que existió engaño o fraude que indujo al juzgado a ordenar una inscripción sobre 60 has que la causante no habría tenido, y que ello configuraría una nulidad absoluta o incluso </w:t>
      </w:r>
      <w:r>
        <w:rPr>
          <w:i/>
          <w:color w:val="000000"/>
          <w:lang w:val="es-AR" w:eastAsia="es-AR" w:bidi="es-AR"/>
        </w:rPr>
        <w:t xml:space="preserve">“inexistencia”</w:t>
      </w:r>
      <w:r>
        <w:rPr>
          <w:color w:val="000000"/>
          <w:lang w:val="es-AR" w:eastAsia="es-AR" w:bidi="es-AR"/>
        </w:rPr>
        <w:t xml:space="preserve"> por razones de orden público, ligadas además a su rol de síndico en un proceso universal.</w:t>
      </w:r>
    </w:p>
    <w:p>
      <w:pPr>
        <w:pStyle w:val="[Normal]"/>
        <w:spacing w:line="360" w:lineRule="auto"/>
        <w:jc w:val="both"/>
        <w:rPr>
          <w:color w:val="000000"/>
          <w:lang w:val="es-AR" w:eastAsia="es-AR" w:bidi="es-AR"/>
        </w:rPr>
      </w:pPr>
      <w:r>
        <w:rPr>
          <w:color w:val="000000"/>
          <w:lang w:val="es-AR" w:eastAsia="es-AR" w:bidi="es-AR"/>
        </w:rPr>
        <w:t xml:space="preserve"> 	Con todo, la crítica no alcanza para revertir el decisorio por dos planos. En el plano procesal, aun cuando se invoque fraude o </w:t>
      </w:r>
      <w:r>
        <w:rPr>
          <w:i/>
          <w:color w:val="000000"/>
          <w:lang w:val="es-AR" w:eastAsia="es-AR" w:bidi="es-AR"/>
        </w:rPr>
        <w:t xml:space="preserve">“estafa procesal”</w:t>
      </w:r>
      <w:r>
        <w:rPr>
          <w:color w:val="000000"/>
          <w:lang w:val="es-AR" w:eastAsia="es-AR" w:bidi="es-AR"/>
        </w:rPr>
        <w:t xml:space="preserve">, el remedio elegido sigue siendo el incidente de nulidad en el sucesorio y, como tal, queda alcanzado por los recaudos del sistema de nulidades procesales, en especial la preclusión del art. 170 CPCC si se tuvo por acreditado conocimiento anterior y promoción tardía. La sola invocación de </w:t>
      </w:r>
      <w:r>
        <w:rPr>
          <w:i/>
          <w:color w:val="000000"/>
          <w:lang w:val="es-AR" w:eastAsia="es-AR" w:bidi="es-AR"/>
        </w:rPr>
        <w:t xml:space="preserve">“orden público”</w:t>
      </w:r>
      <w:r>
        <w:rPr>
          <w:color w:val="000000"/>
          <w:lang w:val="es-AR" w:eastAsia="es-AR" w:bidi="es-AR"/>
        </w:rPr>
        <w:t xml:space="preserve"> no neutraliza, sin más, el régimen de convalidación y consentimiento tácito que el a quo aplicó como fundamento dirimente.</w:t>
        <w:br w:type="textWrapping"/>
      </w:r>
      <w:r>
        <w:rPr>
          <w:color w:val="000000"/>
          <w:lang w:val="es-AR" w:eastAsia="es-AR" w:bidi="es-AR"/>
        </w:rPr>
        <w:t xml:space="preserve"> 	En el plano sustancial, el planteo confunde el efecto de lo actuado en el sucesorio. La planilla y la resolución que dispone una inscripción registral no </w:t>
      </w:r>
      <w:r>
        <w:rPr>
          <w:i/>
          <w:color w:val="000000"/>
          <w:lang w:val="es-AR" w:eastAsia="es-AR" w:bidi="es-AR"/>
        </w:rPr>
        <w:t xml:space="preserve">“crean</w:t>
      </w:r>
      <w:r>
        <w:rPr>
          <w:color w:val="000000"/>
          <w:lang w:val="es-AR" w:eastAsia="es-AR" w:bidi="es-AR"/>
        </w:rPr>
        <w:t xml:space="preserve">” por sí mismas un derecho real inexistente, sino que se apoyan en un estado de cosas que puede ser discutido por las vías pertinentes (oponibilidad y alcance de la cesión, rectificación registral, pretensiones sustanciales contra quienes corresponda, etc.). De hecho, la propia resolución apelada explica que la inscripción cuestionada se dictó en función de los datos registrales disponibles y que de esos informes no surgía la cesión alegada, descartando un vicio procesal intrínseco del acto jurisdiccional.	</w:t>
        <w:br w:type="textWrapping"/>
      </w:r>
      <w:r>
        <w:rPr>
          <w:color w:val="000000"/>
          <w:lang w:val="es-AR" w:eastAsia="es-AR" w:bidi="es-AR"/>
        </w:rPr>
        <w:t xml:space="preserve"> 	Tampoco altera este encuadre la referencia a la denuncia penal por </w:t>
      </w:r>
      <w:r>
        <w:rPr>
          <w:i/>
          <w:color w:val="000000"/>
          <w:lang w:val="es-AR" w:eastAsia="es-AR" w:bidi="es-AR"/>
        </w:rPr>
        <w:t xml:space="preserve">“estafa procesal” </w:t>
      </w:r>
      <w:r>
        <w:rPr>
          <w:color w:val="000000"/>
          <w:lang w:val="es-AR" w:eastAsia="es-AR" w:bidi="es-AR"/>
        </w:rPr>
        <w:t xml:space="preserve">y su elevación a juicio: esa circunstancia, en tanto alegación, no reemplaza la demostración concreta de un vicio invalidante en este trámite ni habilita automáticamente a recalificar el incidente como “nulidad sustancial” para prescindir de sus presupuestos procesales.</w:t>
      </w:r>
    </w:p>
    <w:p>
      <w:pPr>
        <w:pStyle w:val="[Normal]"/>
        <w:spacing w:line="360" w:lineRule="auto"/>
        <w:jc w:val="both"/>
        <w:rPr>
          <w:color w:val="000000"/>
          <w:lang w:val="es-AR" w:eastAsia="es-AR" w:bidi="es-AR"/>
        </w:rPr>
      </w:pPr>
      <w:r>
        <w:rPr>
          <w:color w:val="000000"/>
          <w:lang w:val="es-AR" w:eastAsia="es-AR" w:bidi="es-AR"/>
        </w:rPr>
        <w:t xml:space="preserve"> 	En síntesis, el agravio debe rechazarse: las afirmaciones de engaño o fraude, aun graves y precisas en su formulación, no tornan por sí solas </w:t>
      </w:r>
      <w:r>
        <w:rPr>
          <w:i/>
          <w:color w:val="000000"/>
          <w:lang w:val="es-AR" w:eastAsia="es-AR" w:bidi="es-AR"/>
        </w:rPr>
        <w:t xml:space="preserve">“inexistente”</w:t>
      </w:r>
      <w:r>
        <w:rPr>
          <w:color w:val="000000"/>
          <w:lang w:val="es-AR" w:eastAsia="es-AR" w:bidi="es-AR"/>
        </w:rPr>
        <w:t xml:space="preserve"> lo actuado en el sucesorio ni habilitan a sortear el valladar temporal del art. 170 CPCC dentro de este incidente; y, en lo sustantivo, la discusión sobre si las 60 has integraban o no el acervo requiere un carril idóneo y debate propio, no la invalidación procesal pretendida en forma tardía.</w:t>
      </w:r>
    </w:p>
    <w:p>
      <w:pPr>
        <w:pStyle w:val="[Normal]"/>
        <w:spacing w:line="360" w:lineRule="auto"/>
        <w:jc w:val="both"/>
        <w:rPr>
          <w:color w:val="000000"/>
          <w:lang w:val="es-AR" w:eastAsia="es-AR" w:bidi="es-AR"/>
        </w:rPr>
      </w:pPr>
      <w:r>
        <w:rPr>
          <w:color w:val="000000"/>
          <w:lang w:val="es-AR" w:eastAsia="es-AR" w:bidi="es-AR"/>
        </w:rPr>
        <w:t xml:space="preserve"> 	IV.- El agravio relativo a la inaplicabilidad del art. 170 CPCC y la </w:t>
      </w:r>
      <w:r>
        <w:rPr>
          <w:i/>
          <w:color w:val="000000"/>
          <w:lang w:val="es-AR" w:eastAsia="es-AR" w:bidi="es-AR"/>
        </w:rPr>
        <w:t xml:space="preserve">“justificación temporal” </w:t>
      </w:r>
      <w:r>
        <w:rPr>
          <w:color w:val="000000"/>
          <w:lang w:val="es-AR" w:eastAsia="es-AR" w:bidi="es-AR"/>
        </w:rPr>
        <w:t xml:space="preserve">habrá de correr similar suerte adversa.</w:t>
      </w:r>
    </w:p>
    <w:p>
      <w:pPr>
        <w:pStyle w:val="[Normal]"/>
        <w:spacing w:line="360" w:lineRule="auto"/>
        <w:jc w:val="both"/>
        <w:rPr>
          <w:color w:val="000000"/>
          <w:lang w:val="es-AR" w:eastAsia="es-AR" w:bidi="es-AR"/>
        </w:rPr>
      </w:pPr>
      <w:r>
        <w:rPr>
          <w:color w:val="000000"/>
          <w:lang w:val="es-AR" w:eastAsia="es-AR" w:bidi="es-AR"/>
        </w:rPr>
        <w:t xml:space="preserve"> 	La resolución apelada parte de una premisa fáctica concreta: que, a partir del 31/05/2023, el letrado del síndico manifestó haber compulsado íntegramente las actuaciones del sucesorio, y que pese a ese conocimiento la sindicatura recién promovió la nulidad el 14/07/2023, esto es, cuando ya había transcurrido el plazo de cinco días previsto por el art. 170 CPCC, con la consecuencia de tener por consentidos los actos cuestionados.</w:t>
      </w:r>
    </w:p>
    <w:p>
      <w:pPr>
        <w:pStyle w:val="[Normal]"/>
        <w:spacing w:line="360" w:lineRule="auto"/>
        <w:jc w:val="both"/>
        <w:rPr>
          <w:color w:val="000000"/>
          <w:lang w:val="es-AR" w:eastAsia="es-AR" w:bidi="es-AR"/>
        </w:rPr>
      </w:pPr>
      <w:r>
        <w:rPr>
          <w:color w:val="000000"/>
          <w:lang w:val="es-AR" w:eastAsia="es-AR" w:bidi="es-AR"/>
        </w:rPr>
        <w:t xml:space="preserve"> 	En ese marco, la objeción de que </w:t>
      </w:r>
      <w:r>
        <w:rPr>
          <w:i/>
          <w:color w:val="000000"/>
          <w:lang w:val="es-AR" w:eastAsia="es-AR" w:bidi="es-AR"/>
        </w:rPr>
        <w:t xml:space="preserve">“no era parte al momento de los actos”</w:t>
      </w:r>
      <w:r>
        <w:rPr>
          <w:color w:val="000000"/>
          <w:lang w:val="es-AR" w:eastAsia="es-AR" w:bidi="es-AR"/>
        </w:rPr>
        <w:t xml:space="preserve"> no alcanza para excluir la aplicación del art. 170. El sistema de nulidades procesales no supedita el inicio del plazo a la calidad formal de parte al tiempo del dictado del acto, sino al conocimiento del acto viciado por quien lo invoca; y, de hecho, el propio a quo admitió la legitimación de la sindicatura como tercero con interés, pero sujetó el remedio a los recaudos de procedencia del instituto, entre ellos la tempestividad.</w:t>
      </w:r>
    </w:p>
    <w:p>
      <w:pPr>
        <w:pStyle w:val="[Normal]"/>
        <w:spacing w:line="360" w:lineRule="auto"/>
        <w:jc w:val="both"/>
        <w:rPr>
          <w:color w:val="000000"/>
          <w:lang w:val="es-AR" w:eastAsia="es-AR" w:bidi="es-AR"/>
        </w:rPr>
      </w:pPr>
      <w:r>
        <w:rPr>
          <w:color w:val="000000"/>
          <w:lang w:val="es-AR" w:eastAsia="es-AR" w:bidi="es-AR"/>
        </w:rPr>
        <w:t xml:space="preserve"> 	Tampoco persuade la alegación de que la promoción dentro de cinco días sería </w:t>
      </w:r>
      <w:r>
        <w:rPr>
          <w:i/>
          <w:color w:val="000000"/>
          <w:lang w:val="es-AR" w:eastAsia="es-AR" w:bidi="es-AR"/>
        </w:rPr>
        <w:t xml:space="preserve">“irrazonable</w:t>
      </w:r>
      <w:r>
        <w:rPr>
          <w:color w:val="000000"/>
          <w:lang w:val="es-AR" w:eastAsia="es-AR" w:bidi="es-AR"/>
        </w:rPr>
        <w:t xml:space="preserve">” por requerir investigación para corroborar cesiones y antecedentes. Si el apelante ya contaba con noticia suficiente de los actos que pretendía invalidar (lo que el decisorio fija, como mínimo, al 31/05/2023), la necesidad de profundizar la pesquisa no justifica, por sí, dejar vencer el plazo: la carga procesal podía satisfacerse articulando oportunamente el incidente y ofreciendo la prueba pertinente para robustecer el sustento fáctico-jurídico del planteo. Lo contrario vaciaría de contenido la preclusión, cuya finalidad es estabilizar el procedimiento y evitar la impugnación tardía de actos ya convalidados por inacción.</w:t>
      </w:r>
    </w:p>
    <w:p>
      <w:pPr>
        <w:pStyle w:val="[Normal]"/>
        <w:spacing w:line="360" w:lineRule="auto"/>
        <w:jc w:val="both"/>
        <w:rPr>
          <w:color w:val="000000"/>
          <w:lang w:val="es-AR" w:eastAsia="es-AR" w:bidi="es-AR"/>
        </w:rPr>
      </w:pPr>
      <w:r>
        <w:rPr>
          <w:color w:val="000000"/>
          <w:lang w:val="es-AR" w:eastAsia="es-AR" w:bidi="es-AR"/>
        </w:rPr>
        <w:t xml:space="preserve"> 	En síntesis, aun aceptando que la sindicatura no intervino desde el inicio del sucesorio, lo determinante es que el a quo tuvo por acreditado conocimiento anterior y planteo tardío; y esa conclusión, mientras no sea eficazmente desvirtuada, torna aplicable el art. 170 CPCC y conduce al rechazo del agravio.</w:t>
      </w:r>
    </w:p>
    <w:p>
      <w:pPr>
        <w:pStyle w:val="[Normal]"/>
        <w:spacing w:line="360" w:lineRule="auto"/>
        <w:jc w:val="both"/>
        <w:rPr>
          <w:color w:val="000000"/>
          <w:lang w:val="es-AR" w:eastAsia="es-AR" w:bidi="es-AR"/>
        </w:rPr>
      </w:pPr>
      <w:r>
        <w:rPr>
          <w:color w:val="000000"/>
          <w:lang w:val="es-AR" w:eastAsia="es-AR" w:bidi="es-AR"/>
        </w:rPr>
        <w:t xml:space="preserve"> 	V.- En relación a la crítica basada en la existencia de contradicción y/o absurdo jurisdiccional con decisiones del sucesorio de Matías Mendizábal y con lo decidido en el plano penal, he de señalar que el agravio no es eficaz para revertir el rechazo del incidente. </w:t>
      </w:r>
    </w:p>
    <w:p>
      <w:pPr>
        <w:pStyle w:val="[Normal]"/>
        <w:spacing w:line="360" w:lineRule="auto"/>
        <w:jc w:val="both"/>
        <w:rPr>
          <w:color w:val="000000"/>
          <w:lang w:val="es-AR" w:eastAsia="es-AR" w:bidi="es-AR"/>
        </w:rPr>
      </w:pPr>
      <w:r>
        <w:rPr>
          <w:color w:val="000000"/>
          <w:lang w:val="es-AR" w:eastAsia="es-AR" w:bidi="es-AR"/>
        </w:rPr>
        <w:t xml:space="preserve"> 	Aun cuando en el sucesorio de Matías Mendizábal se registren providencias u oficios orientados a reflejar la cesión en el dominio, ello no convierte en nulo, por sí, lo actuado en este sucesorio ni torna arbitraria la decisión apelada. </w:t>
      </w:r>
    </w:p>
    <w:p>
      <w:pPr>
        <w:pStyle w:val="[Normal]"/>
        <w:spacing w:line="360" w:lineRule="auto"/>
        <w:jc w:val="both"/>
        <w:rPr>
          <w:color w:val="000000"/>
          <w:lang w:val="es-AR" w:eastAsia="es-AR" w:bidi="es-AR"/>
        </w:rPr>
      </w:pPr>
      <w:r>
        <w:rPr>
          <w:color w:val="000000"/>
          <w:lang w:val="es-AR" w:eastAsia="es-AR" w:bidi="es-AR"/>
        </w:rPr>
        <w:t xml:space="preserve"> 	Se trata de actuaciones dictadas en otro proceso, ante otro órgano, con objeto procesal y etapa distintos; su eventual contradicción práctica puede revelar un conflicto sustancial de oponibilidad/registración, pero no suple los presupuestos propios del remedio intentado aquí (nulidad de actos procesales) ni desplaza el fundamento dirimente del a quo vinculado a la extemporaneidad del planteo. En otras palabras, la alegada </w:t>
      </w:r>
      <w:r>
        <w:rPr>
          <w:i/>
          <w:color w:val="000000"/>
          <w:lang w:val="es-AR" w:eastAsia="es-AR" w:bidi="es-AR"/>
        </w:rPr>
        <w:t xml:space="preserve">“incompatibilidad” </w:t>
      </w:r>
      <w:r>
        <w:rPr>
          <w:color w:val="000000"/>
          <w:lang w:val="es-AR" w:eastAsia="es-AR" w:bidi="es-AR"/>
        </w:rPr>
        <w:t xml:space="preserve">no es argumento bastante para sortear el régimen de preclusión propio del incidente si el acto se tuvo por consentido por falta de impugnación tempestiva.</w:t>
      </w:r>
    </w:p>
    <w:p>
      <w:pPr>
        <w:pStyle w:val="[Normal]"/>
        <w:spacing w:line="360" w:lineRule="auto"/>
        <w:jc w:val="both"/>
        <w:rPr>
          <w:color w:val="000000"/>
          <w:lang w:val="es-AR" w:eastAsia="es-AR" w:bidi="es-AR"/>
        </w:rPr>
      </w:pPr>
      <w:r>
        <w:rPr>
          <w:color w:val="000000"/>
          <w:lang w:val="es-AR" w:eastAsia="es-AR" w:bidi="es-AR"/>
        </w:rPr>
        <w:t xml:space="preserve"> 	Además, el propio derrotero registral invocado por la sindicatura muestra que el cuadro no aparece como unívoco ni consolidado: se alude a un oficio del 08/02/2022 ordenando rectificar la inscripción a favor de la cesionaria, pero el Registro respondió con la Resolución 243 (18/11/2022) indicando que no correspondía rectificar por 8/32, precisando porcentajes distintos (1/6 para la cesionaria y 1/90 para Tassi) y mencionando inscripciones posteriores y división de condominio, lo cual evidencia que el conflicto excede una simple </w:t>
      </w:r>
      <w:r>
        <w:rPr>
          <w:i/>
          <w:color w:val="000000"/>
          <w:lang w:val="es-AR" w:eastAsia="es-AR" w:bidi="es-AR"/>
        </w:rPr>
        <w:t xml:space="preserve">“contradicción”</w:t>
      </w:r>
      <w:r>
        <w:rPr>
          <w:color w:val="000000"/>
          <w:lang w:val="es-AR" w:eastAsia="es-AR" w:bidi="es-AR"/>
        </w:rPr>
        <w:t xml:space="preserve"> resoluble por nulidad en este expediente y exige un tratamiento idóneo de adecuación registral y oponibilidad.</w:t>
      </w:r>
    </w:p>
    <w:p>
      <w:pPr>
        <w:pStyle w:val="[Normal]"/>
        <w:spacing w:line="360" w:lineRule="auto"/>
        <w:jc w:val="both"/>
        <w:rPr>
          <w:color w:val="000000"/>
          <w:lang w:val="es-AR" w:eastAsia="es-AR" w:bidi="es-AR"/>
        </w:rPr>
      </w:pPr>
      <w:r>
        <w:rPr>
          <w:color w:val="000000"/>
          <w:lang w:val="es-AR" w:eastAsia="es-AR" w:bidi="es-AR"/>
        </w:rPr>
        <w:t xml:space="preserve"> 	En cuanto al plano penal, la invocación de una causa </w:t>
      </w:r>
      <w:r>
        <w:rPr>
          <w:i/>
          <w:color w:val="000000"/>
          <w:lang w:val="es-AR" w:eastAsia="es-AR" w:bidi="es-AR"/>
        </w:rPr>
        <w:t xml:space="preserve">“elevada a juicio” </w:t>
      </w:r>
      <w:r>
        <w:rPr>
          <w:color w:val="000000"/>
          <w:lang w:val="es-AR" w:eastAsia="es-AR" w:bidi="es-AR"/>
        </w:rPr>
        <w:t xml:space="preserve">no constituye, por sí sola, un dato decisivo en sede civil para invalidar actos procesales ni para tener por acreditado el fraude denunciado. Mientras no exista una sentencia penal firme con incidencia concreta sobre los extremos aquí debatidos, esa referencia opera, en el mejor de los casos, como un elemento contextual, pero no sustituye la carga de demostrar un vicio invalidante y tempestivo dentro del incidente. Por ello, la </w:t>
      </w:r>
      <w:r>
        <w:rPr>
          <w:i/>
          <w:color w:val="000000"/>
          <w:lang w:val="es-AR" w:eastAsia="es-AR" w:bidi="es-AR"/>
        </w:rPr>
        <w:t xml:space="preserve">“prejudicialidad”</w:t>
      </w:r>
      <w:r>
        <w:rPr>
          <w:color w:val="000000"/>
          <w:lang w:val="es-AR" w:eastAsia="es-AR" w:bidi="es-AR"/>
        </w:rPr>
        <w:t xml:space="preserve"> que se sugiere no queda configurada automáticamente, ni la sola existencia del trámite penal habilita a revocar la resolución apelada (art. 76 quater del Código Penal y art. 1775 del CCyC).	</w:t>
        <w:br w:type="textWrapping"/>
      </w:r>
      <w:r>
        <w:rPr>
          <w:color w:val="000000"/>
          <w:lang w:val="es-AR" w:eastAsia="es-AR" w:bidi="es-AR"/>
        </w:rPr>
        <w:t xml:space="preserve"> 	En síntesis, el agravio debe rechazarse: la eventual tensión entre lo actuado en el sucesorio de Matías Mendizábal, la situación registral y el trámite penal puede justificar encauzar el conflicto por las vías sustanciales y registrales pertinentes, pero no convierte en arbitraria la decisión que, en este incidente, desestima la nulidad por razones procesales y de idoneidad del remedio.</w:t>
      </w:r>
    </w:p>
    <w:p>
      <w:pPr>
        <w:pStyle w:val="[Normal]"/>
        <w:spacing w:line="360" w:lineRule="auto"/>
        <w:jc w:val="both"/>
        <w:rPr>
          <w:lang w:val="es-AR" w:eastAsia="es-AR" w:bidi="es-AR"/>
        </w:rPr>
      </w:pPr>
      <w:r>
        <w:rPr>
          <w:color w:val="000000"/>
          <w:lang w:val="es-AR" w:eastAsia="es-AR" w:bidi="es-AR"/>
        </w:rPr>
        <w:t xml:space="preserve"> 	VI.- Por último, el agravio basado en la valoración del estado registral y a la actividad informativa en el sucesorio, tampoco es idóneo para modificar la decisión, porque (aun concediendo hipotéticamente alguna insuficiencia en la </w:t>
      </w:r>
      <w:r>
        <w:rPr>
          <w:i/>
          <w:color w:val="000000"/>
          <w:lang w:val="es-AR" w:eastAsia="es-AR" w:bidi="es-AR"/>
        </w:rPr>
        <w:t xml:space="preserve">“mirada registral”</w:t>
      </w:r>
      <w:r>
        <w:rPr>
          <w:color w:val="000000"/>
          <w:lang w:val="es-AR" w:eastAsia="es-AR" w:bidi="es-AR"/>
        </w:rPr>
        <w:t xml:space="preserve">) el rechazo del incidente se apoya, de modo dirimente, en la extemporaneidad del planteo (art. 170 CPCC) por conocimiento anterior al 31/05/2023 y promoción recién el 14/07/2023. En ese marco, la discusión sobre si del Registro </w:t>
      </w:r>
      <w:r>
        <w:rPr>
          <w:i/>
          <w:color w:val="000000"/>
          <w:lang w:val="es-AR" w:eastAsia="es-AR" w:bidi="es-AR"/>
        </w:rPr>
        <w:t xml:space="preserve">“surge”</w:t>
      </w:r>
      <w:r>
        <w:rPr>
          <w:color w:val="000000"/>
          <w:lang w:val="es-AR" w:eastAsia="es-AR" w:bidi="es-AR"/>
        </w:rPr>
        <w:t xml:space="preserve"> o </w:t>
      </w:r>
      <w:r>
        <w:rPr>
          <w:i/>
          <w:color w:val="000000"/>
          <w:lang w:val="es-AR" w:eastAsia="es-AR" w:bidi="es-AR"/>
        </w:rPr>
        <w:t xml:space="preserve">“no surge”</w:t>
      </w:r>
      <w:r>
        <w:rPr>
          <w:color w:val="000000"/>
          <w:lang w:val="es-AR" w:eastAsia="es-AR" w:bidi="es-AR"/>
        </w:rPr>
        <w:t xml:space="preserve"> la cesión no alcanza, por sí, para remover el valladar de preclusión que la resolución tuvo por configurado.	</w:t>
        <w:br w:type="textWrapping"/>
      </w:r>
      <w:r>
        <w:rPr>
          <w:color w:val="000000"/>
          <w:lang w:val="es-AR" w:eastAsia="es-AR" w:bidi="es-AR"/>
        </w:rPr>
        <w:t xml:space="preserve"> 	Aun así, el reproche presenta un déficit adicional: tras haber ofrecido prueba informativa precisamente para que se requirieran informes al Registro General Rosario y se remitieran expedientes conexos, el juzgado abrió la causa a prueba y ordenó su producción; sin embargo, el propio síndico desistió luego de esa prueba informativa. En tales condiciones, no es coherente sostener en Alzada que el proceso </w:t>
      </w:r>
      <w:r>
        <w:rPr>
          <w:i/>
          <w:color w:val="000000"/>
          <w:lang w:val="es-AR" w:eastAsia="es-AR" w:bidi="es-AR"/>
        </w:rPr>
        <w:t xml:space="preserve">“no pidió el informe adecuado”</w:t>
      </w:r>
      <w:r>
        <w:rPr>
          <w:color w:val="000000"/>
          <w:lang w:val="es-AR" w:eastAsia="es-AR" w:bidi="es-AR"/>
        </w:rPr>
        <w:t xml:space="preserve"> o que faltó actividad informativa útil para detectar cesiones, cuando esa vía fue pedida, habilitada y luego abandonada por el mismo recurrente.	</w:t>
        <w:br w:type="textWrapping"/>
      </w:r>
      <w:r>
        <w:rPr>
          <w:color w:val="000000"/>
          <w:lang w:val="es-AR" w:eastAsia="es-AR" w:bidi="es-AR"/>
        </w:rPr>
        <w:t xml:space="preserve"> 	</w:t>
      </w:r>
      <w:r>
        <w:rPr>
          <w:lang w:val="es-AR" w:eastAsia="es-AR" w:bidi="es-AR"/>
        </w:rPr>
        <w:t xml:space="preserve">Tal proceder encuentra un límite infranqueable en el principio de buena fe (art. 9 del C.C.yC.) a partir del cual se funda la doctrina de los actos propios cuya lógica determina que: "Nadie puede ponerse en contradicción con sus propios actos, ejerciendo una conducta incompatible con una anterior deliberada, jurídicamente relevante y plenamente eficaz" (v.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w:t>
      </w:r>
    </w:p>
    <w:p>
      <w:pPr>
        <w:pStyle w:val="[Normal]"/>
        <w:spacing w:line="360" w:lineRule="auto"/>
        <w:jc w:val="both"/>
        <w:rPr>
          <w:color w:val="000000"/>
          <w:lang w:val="es-AR" w:eastAsia="es-AR" w:bidi="es-AR"/>
        </w:rPr>
      </w:pPr>
      <w:r>
        <w:rPr>
          <w:color w:val="000000"/>
          <w:lang w:val="es-AR" w:eastAsia="es-AR" w:bidi="es-AR"/>
        </w:rPr>
        <w:t xml:space="preserve"> 	Por lo demás, la resolución cuestionada explica que la orden de inscripción de 10/06/2020 se dictó en función de los datos registrales entonces aportados por el Registro General de Rosario y que, de esos informes, no surgía la cesión invocada, añadiendo que ni siquiera se libró comunicación desde el juzgado para efectivizarla. Esa fundamentación puede ser discutida en su acierto fondal, pero no configura, sin más, un </w:t>
      </w:r>
      <w:r>
        <w:rPr>
          <w:i/>
          <w:color w:val="000000"/>
          <w:lang w:val="es-AR" w:eastAsia="es-AR" w:bidi="es-AR"/>
        </w:rPr>
        <w:t xml:space="preserve">“vicio procesal”</w:t>
      </w:r>
      <w:r>
        <w:rPr>
          <w:color w:val="000000"/>
          <w:lang w:val="es-AR" w:eastAsia="es-AR" w:bidi="es-AR"/>
        </w:rPr>
        <w:t xml:space="preserve"> nulificante; en todo caso, remite a un conflicto de oponibilidad/adecuación registral que requiere el carril idóneo y prueba pertinente, no la invalidación procesal tardía.</w:t>
      </w:r>
    </w:p>
    <w:p>
      <w:pPr>
        <w:pStyle w:val="[Normal]"/>
        <w:spacing w:line="360" w:lineRule="auto"/>
        <w:jc w:val="both"/>
        <w:rPr>
          <w:color w:val="000000"/>
          <w:lang w:val="es-AR" w:eastAsia="es-AR" w:bidi="es-AR"/>
        </w:rPr>
      </w:pPr>
      <w:r>
        <w:rPr>
          <w:color w:val="000000"/>
          <w:lang w:val="es-AR" w:eastAsia="es-AR" w:bidi="es-AR"/>
        </w:rPr>
        <w:t xml:space="preserve"> 	Finalmente, la crítica por ausencia de otros certificados (v.gr. inhibiciones) luce lateral respecto del objeto del incidente (nulidad de planilla y de una resolución del sucesorio) y no demuestra cómo ese eventual faltante, en sí mismo, habría generado indefensión concreta ni sustituye la carga de activar tempestivamente el remedio escogido.	</w:t>
        <w:br w:type="textWrapping"/>
      </w:r>
      <w:r>
        <w:rPr>
          <w:color w:val="000000"/>
          <w:lang w:val="es-AR" w:eastAsia="es-AR" w:bidi="es-AR"/>
        </w:rPr>
        <w:t xml:space="preserve"> 	Sin perjuicio de la decisión que hasta aquí se propicia, corresponde dejar expresamente establecido que el presente pronunciamiento se circunscribe al examen de admisibilidad y procedencia del remedio procesal articulado (nulidad de actos procesales en los términos de los arts. 169 y ss. del CPCC, y su oportunidad), y a la idoneidad de esa vía dentro de este sucesorio. </w:t>
      </w:r>
    </w:p>
    <w:p>
      <w:pPr>
        <w:pStyle w:val="[Normal]"/>
        <w:spacing w:line="360" w:lineRule="auto"/>
        <w:jc w:val="both"/>
        <w:rPr>
          <w:color w:val="000000"/>
          <w:lang w:val="es-AR" w:eastAsia="es-AR" w:bidi="es-AR"/>
        </w:rPr>
      </w:pPr>
      <w:r>
        <w:rPr>
          <w:color w:val="000000"/>
          <w:lang w:val="es-AR" w:eastAsia="es-AR" w:bidi="es-AR"/>
        </w:rPr>
        <w:t xml:space="preserve"> 	En consecuencia, lo aquí resuelto no importa emitir juicio definitivo ni producir cosa juzgada material sobre la cuestión de fondo invocada por el recurrente relativa a la existencia, alcance y oponibilidad de la cesión de derechos alegada, ni sobre la eventual titularidad sustancial de las 60 hectáreas discutidas, materias que eventualmente podrán ventilarse por las vías y con los alcances que correspondan conforme su naturaleza, alcances, plazos, etc.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sindicatura de “Lastra y Marcantonio SCA s/ Quiebra”., confirmando en un todo el resolutorio recurrido.</w:t>
      </w:r>
    </w:p>
    <w:p>
      <w:pPr>
        <w:pStyle w:val="[Normal]"/>
        <w:spacing w:line="360" w:lineRule="auto"/>
        <w:ind w:firstLine="1134"/>
        <w:jc w:val="both"/>
        <w:rPr>
          <w:lang w:val="es-AR" w:eastAsia="es-AR" w:bidi="es-AR"/>
        </w:rPr>
      </w:pPr>
      <w:r>
        <w:rPr>
          <w:lang w:val="es-AR" w:eastAsia="es-AR" w:bidi="es-AR"/>
        </w:rPr>
        <w:t xml:space="preserve">2) Imponer las costas de Alzada a dicha parte, en su carácter de vencida (art. 68/9 del CPCCBA).</w:t>
      </w:r>
    </w:p>
    <w:p>
      <w:pPr>
        <w:pStyle w:val="[Normal]"/>
        <w:spacing w:line="360" w:lineRule="auto"/>
        <w:ind w:firstLine="1134"/>
        <w:jc w:val="both"/>
        <w:rPr>
          <w:lang w:val="es-AR" w:eastAsia="es-AR" w:bidi="es-AR"/>
        </w:rPr>
      </w:pPr>
      <w:r>
        <w:rPr>
          <w:lang w:val="es-AR" w:eastAsia="es-AR" w:bidi="es-AR"/>
        </w:rPr>
        <w:t xml:space="preserve">3) Diferir la regulación honorarios para su oportunidad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sindicatura de “Lastra y Marcantonio SCA s/ Quiebra”., confirmando en un todo el resolutorio recurrido.</w:t>
      </w:r>
    </w:p>
    <w:p>
      <w:pPr>
        <w:pStyle w:val="[Normal]"/>
        <w:spacing w:line="360" w:lineRule="auto"/>
        <w:ind w:firstLine="1134"/>
        <w:jc w:val="both"/>
        <w:rPr>
          <w:lang w:val="es-AR" w:eastAsia="es-AR" w:bidi="es-AR"/>
        </w:rPr>
      </w:pPr>
      <w:r>
        <w:rPr>
          <w:lang w:val="es-AR" w:eastAsia="es-AR" w:bidi="es-AR"/>
        </w:rPr>
        <w:t xml:space="preserve">2) Imponer las costas de Alzada a dicha parte, en su carácter de vencida (art. 68/9 del CPCCBA).</w:t>
      </w:r>
    </w:p>
    <w:p>
      <w:pPr>
        <w:pStyle w:val="[Normal]"/>
        <w:spacing w:line="360" w:lineRule="auto"/>
        <w:ind w:firstLine="1134"/>
        <w:jc w:val="both"/>
        <w:rPr>
          <w:lang w:val="es-AR" w:eastAsia="es-AR" w:bidi="es-AR"/>
        </w:rPr>
      </w:pPr>
      <w:r>
        <w:rPr>
          <w:lang w:val="es-AR" w:eastAsia="es-AR" w:bidi="es-AR"/>
        </w:rPr>
        <w:t xml:space="preserve">3) Diferir la regulación honorarios para su oportunidad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20231327852@NOTIFICACIONES.SCBA.GOV.AR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20222584494@NOTIFICACIONES.SCBA.GOV.AR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20115771125@NOTIFICACIONES.SCBA.GOV.AR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10:15:00 -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10:39:00 -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11:59:34 -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‰8n")è&amp;i|u&amp;Š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247802090006739285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10/03/2026 11:59:57 hs. bajo el número RS-21-2026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