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lang w:val="es-AR" w:eastAsia="es-AR" w:bidi="es-AR"/>
        </w:rPr>
        <w:t xml:space="preserve">5901</w:t>
      </w:r>
      <w:r>
        <w:rPr>
          <w:lang w:val="es-AR" w:eastAsia="es-AR" w:bidi="es-AR"/>
        </w:rPr>
        <w:t xml:space="preserve"> caratulada </w:t>
      </w:r>
      <w:r>
        <w:rPr>
          <w:b/>
          <w:lang w:val="es-AR" w:eastAsia="es-AR" w:bidi="es-AR"/>
        </w:rPr>
        <w:t xml:space="preserve">"G.M.M.C.C./ D.L.V.M.I. S/ ACCION COMPENSACION ECONOMICA"</w:t>
      </w:r>
      <w:r>
        <w:rPr>
          <w:lang w:val="es-AR" w:eastAsia="es-AR" w:bidi="es-AR"/>
        </w:rPr>
        <w:t xml:space="preserve">, Expte. N° 42358</w:t>
      </w:r>
      <w:r>
        <w:rPr>
          <w:color w:val="000000"/>
          <w:lang w:val="es-AR" w:eastAsia="es-AR" w:bidi="es-AR"/>
        </w:rPr>
        <w:t xml:space="preserve"> </w:t>
      </w:r>
      <w:r>
        <w:rPr>
          <w:lang w:val="es-AR" w:eastAsia="es-AR" w:bidi="es-AR"/>
        </w:rPr>
        <w:t xml:space="preserve">del Juzgado Civil y Comercial N° 1</w:t>
      </w:r>
      <w:r>
        <w:rPr>
          <w:color w:val="0000FF"/>
          <w:lang w:val="es-AR" w:eastAsia="es-AR" w:bidi="es-AR"/>
        </w:rPr>
        <w:t xml:space="preserve">,</w:t>
      </w:r>
      <w:r>
        <w:rPr>
          <w:lang w:val="es-AR" w:eastAsia="es-AR" w:bidi="es-AR"/>
        </w:rPr>
        <w:t xml:space="preserve"> se practicó el sorteo de ley que determinó que la votación debía efectuarse en el siguiente orden: Roberto Degleue y Graciela Scaraffia,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El Sr. Juez de primera instancia, en lo que aquí interesa, luego de tener por desistida a la parte actora en el presente proceso, fijó como base regulatoria la suma de $70.250.000 y, en función de ello, reguló los honorarios del letrado de la parte demandada xxxxxxx en veinte (20) jus arancelarios.</w:t>
      </w:r>
    </w:p>
    <w:p>
      <w:pPr>
        <w:pStyle w:val="[Normal]"/>
        <w:spacing w:line="360" w:lineRule="auto"/>
        <w:ind w:firstLine="1134"/>
        <w:jc w:val="both"/>
        <w:rPr>
          <w:lang w:val="es-AR" w:eastAsia="es-AR" w:bidi="es-AR"/>
        </w:rPr>
      </w:pPr>
      <w:r>
        <w:rPr>
          <w:lang w:val="es-AR" w:eastAsia="es-AR" w:bidi="es-AR"/>
        </w:rPr>
        <w:t xml:space="preserve">Dicha resolución es apelada por el nombrado, quien se agravia de la regulación de honorarios dispuesta en la sentencia de grado por considerarla arbitraria, infundada y violatoria de la ley 14.967. </w:t>
      </w:r>
    </w:p>
    <w:p>
      <w:pPr>
        <w:pStyle w:val="[Normal]"/>
        <w:spacing w:line="360" w:lineRule="auto"/>
        <w:ind w:firstLine="1134"/>
        <w:jc w:val="both"/>
        <w:rPr>
          <w:lang w:val="es-AR" w:eastAsia="es-AR" w:bidi="es-AR"/>
        </w:rPr>
      </w:pPr>
      <w:r>
        <w:rPr>
          <w:lang w:val="es-AR" w:eastAsia="es-AR" w:bidi="es-AR"/>
        </w:rPr>
        <w:t xml:space="preserve">Señala que el juez reconoció correctamente como base regulatoria el monto reclamado en la demanda USD 100.000, equivalentes a $140.500.000. Agrega que el a quo aplicó erróneamente el art. 23 de la ley arancelaria al reducir dicha base y regular honorarios en solo 20 jus, perforando el mínimo legal sin fundamentación suficiente ni respaldo en operación aritmética alguna, pese a tratarse de un proceso de carácter pecuniario alcanzado por la escala del art. 21.</w:t>
      </w:r>
    </w:p>
    <w:p>
      <w:pPr>
        <w:pStyle w:val="[Normal]"/>
        <w:spacing w:line="360" w:lineRule="auto"/>
        <w:ind w:firstLine="1134"/>
        <w:jc w:val="both"/>
        <w:rPr>
          <w:lang w:val="es-AR" w:eastAsia="es-AR" w:bidi="es-AR"/>
        </w:rPr>
      </w:pPr>
      <w:r>
        <w:rPr>
          <w:lang w:val="es-AR" w:eastAsia="es-AR" w:bidi="es-AR"/>
        </w:rPr>
        <w:t xml:space="preserve">Sostiene que no se configuran los supuestos excepcionales que habilitan el apartamiento del monto del proceso y que las razones invocadas por el juzgador son genéricas, abstractas e improcedentes. Afirma que, aun aplicando las normas de los arts. 25 y 28 inc. b de la ley 14.967, y considerando la finalización anormal del proceso por desistimiento, la regulación debió efectuarse sobre la base íntegra reconocida, arrojando un resultado muy superior al fijado, lo que evidencia el carácter irrisorio y confiscatorio de los honorarios regulados.</w:t>
      </w:r>
    </w:p>
    <w:p>
      <w:pPr>
        <w:pStyle w:val="[Normal]"/>
        <w:spacing w:line="360" w:lineRule="auto"/>
        <w:ind w:firstLine="1134"/>
        <w:jc w:val="both"/>
        <w:rPr>
          <w:lang w:val="es-AR" w:eastAsia="es-AR" w:bidi="es-AR"/>
        </w:rPr>
      </w:pPr>
      <w:r>
        <w:rPr>
          <w:lang w:val="es-AR" w:eastAsia="es-AR" w:bidi="es-AR"/>
        </w:rPr>
        <w:t xml:space="preserve">Solicita la elevación sustancial de los honorarios conforme las escalas legales, con planteo expreso de caso federal para el supuesto de una decisión adversa.</w:t>
      </w:r>
    </w:p>
    <w:p>
      <w:pPr>
        <w:pStyle w:val="[Normal]"/>
        <w:spacing w:line="360" w:lineRule="auto"/>
        <w:ind w:firstLine="1134"/>
        <w:jc w:val="both"/>
        <w:rPr>
          <w:lang w:val="es-AR" w:eastAsia="es-AR" w:bidi="es-AR"/>
        </w:rPr>
      </w:pPr>
      <w:r>
        <w:rPr>
          <w:lang w:val="es-AR" w:eastAsia="es-AR" w:bidi="es-AR"/>
        </w:rPr>
        <w:t xml:space="preserve">A su turno la contraria contesta el traslado conferido. Expresa el proceso concluyó en una etapa embrionaria por desistimiento voluntario de la actora, motivado por razones personales y de salud, sin relación alguna con la actuación del apelante, cuya labor se limitó a la contestación de la demanda, sin audiencias ni actividad probatoria. Sostiene que el desistimiento no atribuye carácter de vencedor ni habilita automáticamente la aplicación del 50 % de la escala arancelaria, que la determinación de etapas exige ponderar la entidad real del trabajo realizado y que la aplicación del art. 23 de la ley 14.967 fue razonable y legítima para evitar una regulación desproporcionada. Concluye que la regulación de 20 jus resulta proporcional, suficiente y ajustada a derecho. Solicita el rechazo del recurso interpuesto, con costas.</w:t>
      </w:r>
    </w:p>
    <w:p>
      <w:pPr>
        <w:pStyle w:val="[Normal]"/>
        <w:spacing w:line="360" w:lineRule="auto"/>
        <w:ind w:firstLine="1134"/>
        <w:jc w:val="both"/>
        <w:rPr>
          <w:lang w:val="es-AR" w:eastAsia="es-AR" w:bidi="es-AR"/>
        </w:rPr>
      </w:pPr>
      <w:r>
        <w:rPr>
          <w:lang w:val="es-AR" w:eastAsia="es-AR" w:bidi="es-AR"/>
        </w:rPr>
        <w:t xml:space="preserve">Entrando a resolver en primer término, cabe recordar que la regulación de honorarios constituye materia propia de apreciación judicial, sujeta a las pautas legales pero también a la prudente valoración del magistrado, quien debe ponderar no sólo el monto del proceso sino también la naturaleza del asunto, la calidad, eficacia y extensión de la labor desarrollada, el resultado obtenido y las etapas efectivamente cumplidas (arts. 16, 21, 23 y 28 de la ley 14.967).</w:t>
      </w:r>
    </w:p>
    <w:p>
      <w:pPr>
        <w:pStyle w:val="[Normal]"/>
        <w:spacing w:line="360" w:lineRule="auto"/>
        <w:ind w:firstLine="1134"/>
        <w:jc w:val="both"/>
        <w:rPr>
          <w:lang w:val="es-AR" w:eastAsia="es-AR" w:bidi="es-AR"/>
        </w:rPr>
      </w:pPr>
      <w:r>
        <w:rPr>
          <w:lang w:val="es-AR" w:eastAsia="es-AR" w:bidi="es-AR"/>
        </w:rPr>
        <w:t xml:space="preserve">En el caso de marras el tipo de proceso incoado se encuadra dentro de los procesos sumarios. Específicamente éste concluyó por desistimiento de la acción formulado por la actora (art. 304 CPCC), antes de la apertura a prueba y sin que se hubiera desarrollado actividad probatoria alguna. </w:t>
      </w:r>
    </w:p>
    <w:p>
      <w:pPr>
        <w:pStyle w:val="[Normal]"/>
        <w:spacing w:line="360" w:lineRule="auto"/>
        <w:ind w:firstLine="1134"/>
        <w:jc w:val="both"/>
        <w:rPr>
          <w:lang w:val="es-AR" w:eastAsia="es-AR" w:bidi="es-AR"/>
        </w:rPr>
      </w:pPr>
      <w:r>
        <w:rPr>
          <w:lang w:val="es-AR" w:eastAsia="es-AR" w:bidi="es-AR"/>
        </w:rPr>
        <w:t xml:space="preserve">Y si bien es cierto que el letrado recurrente cumplió la contestación de demanda y ofrecimiento de prueba, actuación que integra la primera etapa prevista en el art. 28 inc. b de la ley 14.967, la determinación del honorario no opera de manera automática por la sola realización de ese acto procesal sino que exige ponderar la entidad concreta de la tarea desplegada y su incidencia real en el trámite.</w:t>
      </w:r>
    </w:p>
    <w:p>
      <w:pPr>
        <w:pStyle w:val="[Normal]"/>
        <w:spacing w:line="360" w:lineRule="auto"/>
        <w:ind w:firstLine="1134"/>
        <w:jc w:val="both"/>
        <w:rPr>
          <w:lang w:val="es-AR" w:eastAsia="es-AR" w:bidi="es-AR"/>
        </w:rPr>
      </w:pPr>
      <w:r>
        <w:rPr>
          <w:lang w:val="es-AR" w:eastAsia="es-AR" w:bidi="es-AR"/>
        </w:rPr>
        <w:t xml:space="preserve">El art. 23 de la ley 14.967 establece que, cuando la aplicación estricta del monto reclamado como base regulatoria arrojare resultados notoriamente inequitativos, el juez puede apartarse de esa regla, siempre con debida fundamentación y sin reducir la base por debajo del cincuenta por ciento. La finalidad de la norma no es desconocer el valor económico del litigio, sino evitar que, frente a una finalización anticipada o a una actividad profesional limitada, se produzcan desproporciones manifiestas entre la labor efectivamente cumplida y la retribución resultante.</w:t>
      </w:r>
    </w:p>
    <w:p>
      <w:pPr>
        <w:pStyle w:val="[Normal]"/>
        <w:spacing w:line="360" w:lineRule="auto"/>
        <w:ind w:firstLine="1134"/>
        <w:jc w:val="both"/>
        <w:rPr>
          <w:lang w:val="es-AR" w:eastAsia="es-AR" w:bidi="es-AR"/>
        </w:rPr>
      </w:pPr>
      <w:r>
        <w:rPr>
          <w:lang w:val="es-AR" w:eastAsia="es-AR" w:bidi="es-AR"/>
        </w:rPr>
        <w:t xml:space="preserve">En el caso, el magistrado fijó como base el 50 % del monto reclamado ($70.250.000), explicitando que el proceso no superó su etapa inicial. De ahí que tal decisión se encuentra dentro de los márgenes que la ley habilita y aparece razonablemente fundada en la realidad del trámite.</w:t>
      </w:r>
    </w:p>
    <w:p>
      <w:pPr>
        <w:pStyle w:val="[Normal]"/>
        <w:spacing w:line="360" w:lineRule="auto"/>
        <w:ind w:firstLine="1134"/>
        <w:jc w:val="both"/>
        <w:rPr>
          <w:lang w:val="es-AR" w:eastAsia="es-AR" w:bidi="es-AR"/>
        </w:rPr>
      </w:pPr>
      <w:r>
        <w:rPr>
          <w:lang w:val="es-AR" w:eastAsia="es-AR" w:bidi="es-AR"/>
        </w:rPr>
        <w:t xml:space="preserve">Tampoco resulta atendible la alegada automaticidad del cincuenta por ciento de la escala del art. 21 por la mera conclusión de la primera etapa. La ley arancelaria establece pautas y márgenes, pero no impone fórmulas matemáticas rígidas. La proporcionalidad entre tarea y retribución constituye principio rector que impide tanto regulaciones excesivas como aquellas que resulten irrisorias (arts. 16 y ccs. Ley 14.967).</w:t>
      </w:r>
    </w:p>
    <w:p>
      <w:pPr>
        <w:pStyle w:val="[Normal]"/>
        <w:spacing w:line="360" w:lineRule="auto"/>
        <w:ind w:firstLine="1134"/>
        <w:jc w:val="both"/>
        <w:rPr>
          <w:lang w:val="es-AR" w:eastAsia="es-AR" w:bidi="es-AR"/>
        </w:rPr>
      </w:pPr>
      <w:r>
        <w:rPr>
          <w:lang w:val="es-AR" w:eastAsia="es-AR" w:bidi="es-AR"/>
        </w:rPr>
        <w:t xml:space="preserve">En este marco, la fijación de veinte (20) jus -considerando el estadio procesal alcanzado, la inexistencia de debate probatorio y la conclusión temprana del litigio- no aparece como absurda ni confiscatoria. Por el contrario, el honorario mantiene su carácter alimentario y retributivo, en tanto guarda razonable relación con la labor desarrollada y con la concreta dimensión que el conflicto adquirió en sede judicial.</w:t>
      </w:r>
    </w:p>
    <w:p>
      <w:pPr>
        <w:pStyle w:val="[Normal]"/>
        <w:spacing w:line="360" w:lineRule="auto"/>
        <w:ind w:firstLine="1134"/>
        <w:jc w:val="both"/>
        <w:rPr>
          <w:lang w:val="es-AR" w:eastAsia="es-AR" w:bidi="es-AR"/>
        </w:rPr>
      </w:pPr>
      <w:r>
        <w:rPr>
          <w:lang w:val="es-AR" w:eastAsia="es-AR" w:bidi="es-AR"/>
        </w:rPr>
        <w:t xml:space="preserve">Por último corresponde aclarar no se establecen costas en esta instancia por el tratamiento de la cuestión traída por cuanto en principio "El procedimiento de regulación de honorarios no constituye juicio contradictorio de índole tal que las genere por lo que el recurso deducido en aquel y los respectivos trabajos de Alzada no devengan honorarios". (confr.este Tribunal causas Nº 1291 RSI 10/2014, N° 2553 RSI 70/2016, ent. ots.)</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1) Rechazar el recurso de apelación deducido y confirmar la resolución apelada. </w:t>
      </w:r>
    </w:p>
    <w:p>
      <w:pPr>
        <w:pStyle w:val="[Normal]"/>
        <w:spacing w:line="360" w:lineRule="auto"/>
        <w:ind w:firstLine="1134"/>
        <w:jc w:val="both"/>
        <w:rPr>
          <w:lang w:val="es-AR" w:eastAsia="es-AR" w:bidi="es-AR"/>
        </w:rPr>
      </w:pPr>
      <w:r>
        <w:rPr>
          <w:lang w:val="es-AR" w:eastAsia="es-AR" w:bidi="es-AR"/>
        </w:rPr>
        <w:t xml:space="preserve">2) Sin costas (arts. 68 2da. parte/69 CPCC). </w:t>
      </w:r>
    </w:p>
    <w:p>
      <w:pPr>
        <w:pStyle w:val="[Normal]"/>
        <w:spacing w:line="360" w:lineRule="auto"/>
        <w:ind w:firstLine="1134"/>
        <w:jc w:val="both"/>
        <w:rPr>
          <w:lang w:val="es-AR" w:eastAsia="es-AR" w:bidi="es-AR"/>
        </w:rPr>
      </w:pPr>
      <w:r>
        <w:rPr>
          <w:b/>
          <w:lang w:val="es-AR" w:eastAsia="es-AR" w:bidi="es-AR"/>
        </w:rPr>
        <w:t xml:space="preserve">ASÍ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1) Rechazar el recurso de apelación deducido y confirmar la resolución apelada. </w:t>
      </w:r>
    </w:p>
    <w:p>
      <w:pPr>
        <w:pStyle w:val="[Normal]"/>
        <w:spacing w:line="360" w:lineRule="auto"/>
        <w:ind w:firstLine="1134"/>
        <w:jc w:val="both"/>
        <w:rPr>
          <w:lang w:val="es-AR" w:eastAsia="es-AR" w:bidi="es-AR"/>
        </w:rPr>
      </w:pPr>
      <w:r>
        <w:rPr>
          <w:lang w:val="es-AR" w:eastAsia="es-AR" w:bidi="es-AR"/>
        </w:rPr>
        <w:t xml:space="preserve">2) Sin costas (arts. 68 2da. parte/69 CPCC). </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p>
      <w:pPr>
        <w:pStyle w:val="[Normal]"/>
        <w:rPr>
          <w:color w:val="000000"/>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