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5938-25</w:t>
      </w:r>
      <w:r>
        <w:rPr>
          <w:lang w:val="es-AR" w:eastAsia="es-AR" w:bidi="es-AR"/>
        </w:rPr>
        <w:t xml:space="preserve"> caratulada </w:t>
      </w:r>
      <w:r>
        <w:rPr>
          <w:b/>
          <w:lang w:val="es-AR" w:eastAsia="es-AR" w:bidi="es-AR"/>
        </w:rPr>
        <w:t xml:space="preserve">"</w:t>
      </w:r>
      <w:r>
        <w:rPr>
          <w:b/>
          <w:color w:val="000000"/>
          <w:lang w:val="es-AR" w:eastAsia="es-AR" w:bidi="es-AR"/>
        </w:rPr>
        <w:t xml:space="preserve">LAMOLLA ALBERTO DANIEL Y OTRO/A C/ CAPORALINI MARTINA SOLEDAD S/ DETERMINACION PRECIO/ALQUILERES</w:t>
      </w:r>
      <w:r>
        <w:rPr>
          <w:b/>
          <w:lang w:val="es-AR" w:eastAsia="es-AR" w:bidi="es-AR"/>
        </w:rPr>
        <w:t xml:space="preserve">"</w:t>
      </w:r>
      <w:r>
        <w:rPr>
          <w:lang w:val="es-AR" w:eastAsia="es-AR" w:bidi="es-AR"/>
        </w:rPr>
        <w:t xml:space="preserve">, Expte. 68352</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instancia anterior hizo lugar a la excepción de litispendencia por conexidad planteada por la demandada Martina Soledad Caporalini, con costas a los excepcionados. Para así decidir el a quo determinó que este proceso se encuentra sumamente conectado con los autos "Lamolla, Daniel Alberto y otra c/Caporalini, Martina Soledad s/Nulidad de Acto Jurídico” Expte Nº 68.027. Asimismo ordenó acumular ambos trámites. Por último difirió la regulación de los honorarios de los profesionales  intervinientes para el momento que exista determinación firme de la base.</w:t>
      </w:r>
    </w:p>
    <w:p>
      <w:pPr>
        <w:pStyle w:val="[Normal]"/>
        <w:spacing w:line="360" w:lineRule="auto"/>
        <w:ind w:firstLine="1134"/>
        <w:jc w:val="both"/>
        <w:rPr>
          <w:lang w:val="es-AR" w:eastAsia="es-AR" w:bidi="es-AR"/>
        </w:rPr>
      </w:pPr>
      <w:r>
        <w:rPr>
          <w:lang w:val="es-AR" w:eastAsia="es-AR" w:bidi="es-AR"/>
        </w:rPr>
        <w:t xml:space="preserve">Dicho decisorio dio lugar al recurso de apelación interpuesto el 7-11-2025, concedido en relación el 12-11-2025, y fundado el 19-11-2025, y   no habiendo la parte demandada contestado el traslado conferido en fecha 25-11-2025, se le dio por perdido el derecho dejado de usar, llamándose a autos para resolver el 16-12-2025,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La parte actora se agravia de la sentencia recurrida por considerar que desconoce resoluciones dictadas por el propio Juzgado en causas conexas que tramitan ante el mismo organismo. Sostienen los quejosos que han sido declarados herederos en los autos “Lamolla, Alberto s/ Sucesión Ab Intestato” (Expte. n.º 41.620), en trámite ante el Juzgado en lo Civil y Comercial n.º 3. Entienden que tal circunstancia que torna indiscutible su derecho sobre el 50% del inmueble allí denunciado, en su carácter de bien ganancial integrante del acervo hereditario.</w:t>
      </w:r>
    </w:p>
    <w:p>
      <w:pPr>
        <w:pStyle w:val="[Normal]"/>
        <w:spacing w:line="360" w:lineRule="auto"/>
        <w:ind w:firstLine="1134"/>
        <w:jc w:val="both"/>
        <w:rPr>
          <w:lang w:val="es-AR" w:eastAsia="es-AR" w:bidi="es-AR"/>
        </w:rPr>
      </w:pPr>
      <w:r>
        <w:rPr>
          <w:lang w:val="es-AR" w:eastAsia="es-AR" w:bidi="es-AR"/>
        </w:rPr>
        <w:t xml:space="preserve"> Agrega que la pretensión deducida se limita a la fijación de un canon por el uso del 50% del bien que consideran indiscutidamente propio, por lo que el eventual resultado de la acción de nulidad de la cesión onerosa que tramita en los autos “Lamolla, Alberto Daniel y otro/a c/ Caporalini Martina Soledad s/ Nulidad de Acto Jurídico” (Expte. n.º 68.027) no alteraría dicho porcentaje que, en su calidad de herederos legítimos, les correspondería.</w:t>
      </w:r>
    </w:p>
    <w:p>
      <w:pPr>
        <w:pStyle w:val="[Normal]"/>
        <w:spacing w:line="360" w:lineRule="auto"/>
        <w:ind w:firstLine="1134"/>
        <w:jc w:val="both"/>
        <w:rPr>
          <w:lang w:val="es-AR" w:eastAsia="es-AR" w:bidi="es-AR"/>
        </w:rPr>
      </w:pPr>
      <w:r>
        <w:rPr>
          <w:lang w:val="es-AR" w:eastAsia="es-AR" w:bidi="es-AR"/>
        </w:rPr>
        <w:t xml:space="preserve">Planteada así la cuestión, corresponde examinar si en el caso se encuentran reunidos los presupuestos que habilitan la procedencia de la excepción de litispendencia por conexidad, tal como fue admitida en la instancia de grado.</w:t>
      </w:r>
    </w:p>
    <w:p>
      <w:pPr>
        <w:pStyle w:val="[Normal]"/>
        <w:spacing w:line="360" w:lineRule="auto"/>
        <w:ind w:firstLine="1134"/>
        <w:jc w:val="both"/>
        <w:rPr>
          <w:lang w:val="es-AR" w:eastAsia="es-AR" w:bidi="es-AR"/>
        </w:rPr>
      </w:pPr>
      <w:r>
        <w:rPr>
          <w:lang w:val="es-AR" w:eastAsia="es-AR" w:bidi="es-AR"/>
        </w:rPr>
        <w:t xml:space="preserve">En primer término corresponde destacar que la litispendencia constituye un instituto procesal destinado a evitar la tramitación simultánea de procesos idénticos o estrechamente vinculados, cuando ello pudiera conducir al dictado de decisiones incompatibles a fin de evitar lo que se conoce como escándalo jurídico o strepitus fori. </w:t>
      </w:r>
    </w:p>
    <w:p>
      <w:pPr>
        <w:pStyle w:val="[Normal]"/>
        <w:spacing w:line="360" w:lineRule="auto"/>
        <w:ind w:firstLine="1134"/>
        <w:jc w:val="both"/>
        <w:rPr>
          <w:lang w:val="es-AR" w:eastAsia="es-AR" w:bidi="es-AR"/>
        </w:rPr>
      </w:pPr>
      <w:r>
        <w:rPr>
          <w:lang w:val="es-AR" w:eastAsia="es-AR" w:bidi="es-AR"/>
        </w:rPr>
        <w:t xml:space="preserve">Destacada doctrina ha expresado que para la procedencia de la litispendencia debe mediar por principio, una triple identidad entre las pretensiones que se ventilan en los distintos procesos, por coincidir los elementos de sujetos, objeto y causa (Morello, Sosa, Berizonce "Códigos Procesales en lo Civil y Comercial de la Provincia de Buenos Aires y de la Nación", Bs.As. 2015, Tº V, art. 345, pág. 603 y ss). </w:t>
      </w:r>
    </w:p>
    <w:p>
      <w:pPr>
        <w:pStyle w:val="[Normal]"/>
        <w:spacing w:line="360" w:lineRule="auto"/>
        <w:ind w:firstLine="1134"/>
        <w:jc w:val="both"/>
        <w:rPr>
          <w:lang w:val="es-AR" w:eastAsia="es-AR" w:bidi="es-AR"/>
        </w:rPr>
      </w:pPr>
      <w:r>
        <w:rPr>
          <w:lang w:val="es-AR" w:eastAsia="es-AR" w:bidi="es-AR"/>
        </w:rPr>
        <w:t xml:space="preserve">En este sentido el presente proceso tiene por objeto la fijación de un canon locativo derivado del uso exclusivo de un inmueble integrante del acervo hereditario y calificado como ganancial, actualmente ocupado por la demandada, reclamo que se circunscribe al cincuenta por ciento correspondiente al haber hereditario del progenitor de los actores, quienes invocan su carácter de herederos declarados en el proceso sucesorio pertinente.</w:t>
      </w:r>
    </w:p>
    <w:p>
      <w:pPr>
        <w:pStyle w:val="[Normal]"/>
        <w:spacing w:line="360" w:lineRule="auto"/>
        <w:ind w:firstLine="1134"/>
        <w:jc w:val="both"/>
        <w:rPr>
          <w:lang w:val="es-AR" w:eastAsia="es-AR" w:bidi="es-AR"/>
        </w:rPr>
      </w:pPr>
      <w:r>
        <w:rPr>
          <w:lang w:val="es-AR" w:eastAsia="es-AR" w:bidi="es-AR"/>
        </w:rPr>
        <w:t xml:space="preserve">Por su parte, el proceso invocado como conexo persigue la nulidad de una cesión de derechos y acciones hereditarios y gananciales respecto de la restante mitad del inmueble, celebrada por la madre de los actores a favor de la demandada, lo que implica la discusión sobre la validez de un acto jurídico y, eventualmente, la determinación definitiva de la extensión de los derechos patrimoniales transferidos.</w:t>
      </w:r>
    </w:p>
    <w:p>
      <w:pPr>
        <w:pStyle w:val="[Normal]"/>
        <w:spacing w:line="360" w:lineRule="auto"/>
        <w:ind w:firstLine="1134"/>
        <w:jc w:val="both"/>
        <w:rPr>
          <w:lang w:val="es-AR" w:eastAsia="es-AR" w:bidi="es-AR"/>
        </w:rPr>
      </w:pPr>
      <w:r>
        <w:rPr>
          <w:lang w:val="es-AR" w:eastAsia="es-AR" w:bidi="es-AR"/>
        </w:rPr>
        <w:t xml:space="preserve">Si bien ambos procesos guardan vinculación con el mismo bien inmueble, lo cierto es que las finalidades jurídicas perseguidas resultan sustancialmente distintas. Ya que en estas actuaciones se procura la fijación de un canon locativo por el uso de un bien en función de los derechos hereditarios invocados, es decir sobre la proporción que heredaron del causante. En tanto que en el otro litigio se debate la validez de la cesión celebrada por la ex cónyuge con la demandada sobre el restante cincuenta por ciento del inmueble que aquella percibió por ser socia de la sociedad conyugal. </w:t>
      </w:r>
    </w:p>
    <w:p>
      <w:pPr>
        <w:pStyle w:val="[Normal]"/>
        <w:spacing w:line="360" w:lineRule="auto"/>
        <w:ind w:firstLine="1134"/>
        <w:jc w:val="both"/>
        <w:rPr>
          <w:lang w:val="es-AR" w:eastAsia="es-AR" w:bidi="es-AR"/>
        </w:rPr>
      </w:pPr>
      <w:r>
        <w:rPr>
          <w:lang w:val="es-AR" w:eastAsia="es-AR" w:bidi="es-AR"/>
        </w:rPr>
        <w:t xml:space="preserve">En consecuencia, la decisión que recaiga en uno de los procesos no constituye un presupuesto necesario para resolver el otro, en tanto la eventual declaración de nulidad o validez del acto jurídico cuestionado no resulta condición indispensable para analizar la procedencia del canon locativo pretendido.</w:t>
      </w:r>
    </w:p>
    <w:p>
      <w:pPr>
        <w:pStyle w:val="[Normal]"/>
        <w:spacing w:line="360" w:lineRule="auto"/>
        <w:ind w:firstLine="1134"/>
        <w:jc w:val="both"/>
        <w:rPr>
          <w:lang w:val="es-AR" w:eastAsia="es-AR" w:bidi="es-AR"/>
        </w:rPr>
      </w:pPr>
      <w:r>
        <w:rPr>
          <w:lang w:val="es-AR" w:eastAsia="es-AR" w:bidi="es-AR"/>
        </w:rPr>
        <w:t xml:space="preserve">En este marco, no se advierte la configuración de los presupuestos propios de la litispendencia, ni en su modalidad de identidad ni por conexidad, en tanto no se evidencia un riesgo concreto de dictado de sentencias contradictorias ni la necesidad de una decisión única. La mera existencia de puntos de contacto entre ambos litigios no resulta suficiente para justificar su acumulación, siendo necesario que la relación entre las pretensiones sea de tal entidad que la resolución de uno influya necesariamente en la del otro, extremo que no se verifica en autos. Ello sin perjuicio de que el eventual resultado de uno de los procesos pueda incidir posteriormente en los derechos reconocidos en el otro, habilitando los reclamos que pudieran corresponder.</w:t>
      </w:r>
    </w:p>
    <w:p>
      <w:pPr>
        <w:pStyle w:val="[Normal]"/>
        <w:spacing w:line="360" w:lineRule="auto"/>
        <w:ind w:firstLine="1134"/>
        <w:jc w:val="both"/>
        <w:rPr>
          <w:lang w:val="es-AR" w:eastAsia="es-AR" w:bidi="es-AR"/>
        </w:rPr>
      </w:pPr>
      <w:r>
        <w:rPr>
          <w:lang w:val="es-AR" w:eastAsia="es-AR" w:bidi="es-AR"/>
        </w:rPr>
        <w:t xml:space="preserve">En consecuencia, la excepción de litispendencia por conexidad admitida en la instancia de grado se sustenta en una interpretación excesivamente amplia del instituto, que termina por obstaculizar el tratamiento oportuno de la pretensión deducida. </w:t>
      </w:r>
    </w:p>
    <w:p>
      <w:pPr>
        <w:pStyle w:val="[Normal]"/>
        <w:spacing w:line="360" w:lineRule="auto"/>
        <w:ind w:firstLine="1134"/>
        <w:jc w:val="both"/>
        <w:rPr>
          <w:lang w:val="es-AR" w:eastAsia="es-AR" w:bidi="es-AR"/>
        </w:rPr>
      </w:pPr>
      <w:r>
        <w:rPr>
          <w:lang w:val="es-AR" w:eastAsia="es-AR" w:bidi="es-AR"/>
        </w:rPr>
        <w:t xml:space="preserve">Nuestra jurisprudencia ha dicho al respecto que "..</w:t>
      </w:r>
      <w:r>
        <w:rPr>
          <w:i/>
          <w:lang w:val="es-AR" w:eastAsia="es-AR" w:bidi="es-AR"/>
        </w:rPr>
        <w:t xml:space="preserve">.la litispendencia puede existir por identidad (litispendencia propia) o sea cuando las demandas son iguales por coincidir sus sujetos, objeto y causa, o por conexidad (litispendencia impropia), en el caso que de resolverse por separado los procesos involucrados, podrían dictarse sentencias discordantes.</w:t>
      </w:r>
      <w:r>
        <w:rPr>
          <w:lang w:val="es-AR" w:eastAsia="es-AR" w:bidi="es-AR"/>
        </w:rPr>
        <w:t xml:space="preserve">" (CC0202 LP 121460 171 S 19/09/2017 Juez HANKOVITS (MA), Sumario JUBA B5031758).</w:t>
      </w:r>
    </w:p>
    <w:p>
      <w:pPr>
        <w:pStyle w:val="[Normal]"/>
        <w:spacing w:line="360" w:lineRule="auto"/>
        <w:ind w:firstLine="1134"/>
        <w:jc w:val="both"/>
        <w:rPr>
          <w:lang w:val="es-AR" w:eastAsia="es-AR" w:bidi="es-AR"/>
        </w:rPr>
      </w:pPr>
      <w:r>
        <w:rPr>
          <w:lang w:val="es-AR" w:eastAsia="es-AR" w:bidi="es-AR"/>
        </w:rPr>
        <w:t xml:space="preserve">En razón de lo expuesto hasta aquí no se configuran los presupuestos propios de la litispendencia propia ni tampoco por conexidad, dado que no se vislumbra en la especie y de manera manifiesta, el peligro del dictado de sentencias contradictorias, ni aún la necesidad del dictado de una sentencia única. Sin perjuicio que, luego de tramitados ambos procesos, el resultado eventual de uno pueda afectar los derechos reconocidos en el otro y que pueden dar lugar a los reclamos que se estimen procedentes. </w:t>
      </w:r>
    </w:p>
    <w:p>
      <w:pPr>
        <w:pStyle w:val="[Normal]"/>
        <w:spacing w:line="360" w:lineRule="auto"/>
        <w:ind w:firstLine="1134"/>
        <w:jc w:val="both"/>
        <w:rPr>
          <w:lang w:val="es-AR" w:eastAsia="es-AR" w:bidi="es-AR"/>
        </w:rPr>
      </w:pPr>
      <w:r>
        <w:rPr>
          <w:lang w:val="es-AR" w:eastAsia="es-AR" w:bidi="es-AR"/>
        </w:rPr>
        <w:t xml:space="preserve">Consecuentemente, la mera existencia de algún punto de contacto entre los litigios no basta para justificar la acumulación, sino que es preciso que la relación entre las pretensiones sea de tal entidad que la decisión de uno de los procesos influya necesariamente en la solución del otro. </w:t>
      </w:r>
    </w:p>
    <w:p>
      <w:pPr>
        <w:pStyle w:val="[Normal]"/>
        <w:spacing w:line="360" w:lineRule="auto"/>
        <w:ind w:firstLine="1134"/>
        <w:jc w:val="both"/>
        <w:rPr>
          <w:lang w:val="es-AR" w:eastAsia="es-AR" w:bidi="es-AR"/>
        </w:rPr>
      </w:pPr>
      <w:r>
        <w:rPr>
          <w:lang w:val="es-AR" w:eastAsia="es-AR" w:bidi="es-AR"/>
        </w:rPr>
        <w:t xml:space="preserve">Por lo expuesto, propongo al acuerdo revocar la resolución apelada y rechazar la excepción de litispendencia opuesta por la demandada, debiendo continuar el presente proceso según su estado.</w:t>
      </w:r>
    </w:p>
    <w:p>
      <w:pPr>
        <w:pStyle w:val="[Normal]"/>
        <w:spacing w:line="360" w:lineRule="auto"/>
        <w:ind w:firstLine="1134"/>
        <w:jc w:val="both"/>
        <w:rPr>
          <w:lang w:val="es-AR" w:eastAsia="es-AR" w:bidi="es-AR"/>
        </w:rPr>
      </w:pPr>
      <w:r>
        <w:rPr>
          <w:lang w:val="es-AR" w:eastAsia="es-AR" w:bidi="es-AR"/>
        </w:rPr>
        <w:t xml:space="preserve">Las costas de ambas instancias deben imponerse a la demandada vencida, de conformidad con el principio objetivo de la derrota (arts. 68 y 69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de apelación deducido y en virtud de ello revocar la sentencia atacada en todas sus partes debiendo proseguir la causa según su estado. </w:t>
      </w:r>
    </w:p>
    <w:p>
      <w:pPr>
        <w:pStyle w:val="[Normal]"/>
        <w:spacing w:line="360" w:lineRule="auto"/>
        <w:ind w:firstLine="1134"/>
        <w:jc w:val="both"/>
        <w:rPr>
          <w:lang w:val="es-AR" w:eastAsia="es-AR" w:bidi="es-AR"/>
        </w:rPr>
      </w:pPr>
      <w:r>
        <w:rPr>
          <w:lang w:val="es-AR" w:eastAsia="es-AR" w:bidi="es-AR"/>
        </w:rPr>
        <w:t xml:space="preserve">Imponer las costas en ambas instancias  a la demandada que resulta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el recurso de apelación deducido y en virtud de ello revocar la sentencia atacada en todas sus partes debiendo proseguir la causa según su estado. </w:t>
      </w:r>
    </w:p>
    <w:p>
      <w:pPr>
        <w:pStyle w:val="[Normal]"/>
        <w:spacing w:line="360" w:lineRule="auto"/>
        <w:ind w:firstLine="1134"/>
        <w:jc w:val="both"/>
        <w:rPr>
          <w:lang w:val="es-AR" w:eastAsia="es-AR" w:bidi="es-AR"/>
        </w:rPr>
      </w:pPr>
      <w:r>
        <w:rPr>
          <w:lang w:val="es-AR" w:eastAsia="es-AR" w:bidi="es-AR"/>
        </w:rPr>
        <w:t xml:space="preserve">Imponer las costas en ambas instancias  a la demandada que resulta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26/03/2026 09:50:08 -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26/03/2026 10:29:18 -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26/03/2026 10:51:54 -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‰8:")è&amp;r/l|Š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242602090006821576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26/03/2026 10:53:52 hs. bajo el número RS-36-2026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