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5578-25</w:t>
      </w:r>
      <w:r>
        <w:rPr>
          <w:lang w:val="es-AR" w:eastAsia="es-AR" w:bidi="es-AR"/>
        </w:rPr>
        <w:t xml:space="preserve"> caratulada </w:t>
      </w:r>
      <w:r>
        <w:rPr>
          <w:b/>
          <w:lang w:val="es-AR" w:eastAsia="es-AR" w:bidi="es-AR"/>
        </w:rPr>
        <w:t xml:space="preserve">"</w:t>
      </w:r>
      <w:r>
        <w:rPr>
          <w:b/>
          <w:color w:val="000000"/>
          <w:lang w:val="es-AR" w:eastAsia="es-AR" w:bidi="es-AR"/>
        </w:rPr>
        <w:t xml:space="preserve">MONJES MOONEY FEDERICO JAVIER C/ SMG COMPAÑIA ARGENTINA DE SEGUROS S.A.  Y OTRO/A S/ DAÑOS Y PERJ.AUTOM. C/LES. O MUERTE (EXC.ESTADO)</w:t>
      </w:r>
      <w:r>
        <w:rPr>
          <w:b/>
          <w:lang w:val="es-AR" w:eastAsia="es-AR" w:bidi="es-AR"/>
        </w:rPr>
        <w:t xml:space="preserve">"</w:t>
      </w:r>
      <w:r>
        <w:rPr>
          <w:lang w:val="es-AR" w:eastAsia="es-AR" w:bidi="es-AR"/>
        </w:rPr>
        <w:t xml:space="preserve">, Expte. N°67.155</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destacar, hizo lugar a la impugnación deducida por el apoderado de </w:t>
      </w:r>
      <w:r>
        <w:rPr>
          <w:lang w:val="es-AR" w:eastAsia="es-AR" w:bidi="es-AR"/>
        </w:rPr>
        <w:t xml:space="preserve">SMG Compañía Argentina de Seguros SA, </w:t>
      </w:r>
      <w:r>
        <w:rPr>
          <w:lang w:val="es-AR" w:eastAsia="es-AR" w:bidi="es-AR"/>
        </w:rPr>
        <w:t xml:space="preserve">aprobó la liquidación practicada en fecha 25-8-2025 en la suma total de $ 84.605.854,78 y reguló los honorarios de los letrados, peritos y mediadora interviniente. </w:t>
      </w:r>
    </w:p>
    <w:p>
      <w:pPr>
        <w:pStyle w:val="[Normal]"/>
        <w:spacing w:line="360" w:lineRule="auto"/>
        <w:ind w:firstLine="1134"/>
        <w:jc w:val="both"/>
        <w:rPr>
          <w:lang w:val="es-AR" w:eastAsia="es-AR" w:bidi="es-AR"/>
        </w:rPr>
      </w:pPr>
      <w:r>
        <w:rPr>
          <w:lang w:val="es-AR" w:eastAsia="es-AR" w:bidi="es-AR"/>
        </w:rPr>
        <w:t xml:space="preserve">Disconforme con lo resuelto apela el apoderado de la parte actora el 7-10-2025, recurso concedido en relación el 14-10-2025, habiendo la Dra. María Valeria Furnari a cargo del Dpto. de Cobro de Honorarios de Peritos Of. y Ejec. de Tasa de Justicia Departamental y el Dr. Leonardo Fej apoderado de la citada en garantía contestado el traslado conferido el 15-10-2025 y el 21-10-2025, respectivamente. </w:t>
      </w:r>
    </w:p>
    <w:p>
      <w:pPr>
        <w:pStyle w:val="[Normal]"/>
        <w:spacing w:line="360" w:lineRule="auto"/>
        <w:ind w:firstLine="1134"/>
        <w:jc w:val="both"/>
        <w:rPr>
          <w:lang w:val="es-AR" w:eastAsia="es-AR" w:bidi="es-AR"/>
        </w:rPr>
      </w:pPr>
      <w:r>
        <w:rPr>
          <w:lang w:val="es-AR" w:eastAsia="es-AR" w:bidi="es-AR"/>
        </w:rPr>
        <w:t xml:space="preserve">Elevados los autos a esta Alzada, el 4-11-2025 se dicta el llamamiento de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actora cuestiona, en primer término, la liquidación aprobada. Sostiene que el juzgado aplicó indebidamente la tasa pasiva más alta del Banco de la Provincia de Buenos Aires desde la fecha del siniestro, pese a considerar -según afirma- que el monto del reclamo había quedado determinado al momento de interponerse la demanda. Señala que resulta contradictorio fijar el valor a esa fecha y, simultáneamente, computar intereses desde un momento anterior.</w:t>
      </w:r>
    </w:p>
    <w:p>
      <w:pPr>
        <w:pStyle w:val="[Normal]"/>
        <w:spacing w:line="360" w:lineRule="auto"/>
        <w:ind w:firstLine="1134"/>
        <w:jc w:val="both"/>
        <w:rPr>
          <w:lang w:val="es-AR" w:eastAsia="es-AR" w:bidi="es-AR"/>
        </w:rPr>
      </w:pPr>
      <w:r>
        <w:rPr>
          <w:lang w:val="es-AR" w:eastAsia="es-AR" w:bidi="es-AR"/>
        </w:rPr>
        <w:t xml:space="preserve">Postula que debió aplicarse la tasa pura del 6% anual hasta la sentencia -o, subsidiariamente, hasta la interposición de la demanda- y recién desde entonces la tasa pasiva, conforme la doctrina legal sentada por la Suprema Corte de Justicia provincial en los precedentes “Vera” y “Nidera”.</w:t>
      </w:r>
    </w:p>
    <w:p>
      <w:pPr>
        <w:pStyle w:val="[Normal]"/>
        <w:spacing w:line="360" w:lineRule="auto"/>
        <w:ind w:firstLine="1134"/>
        <w:jc w:val="both"/>
        <w:rPr>
          <w:lang w:val="es-AR" w:eastAsia="es-AR" w:bidi="es-AR"/>
        </w:rPr>
      </w:pPr>
      <w:r>
        <w:rPr>
          <w:lang w:val="es-AR" w:eastAsia="es-AR" w:bidi="es-AR"/>
        </w:rPr>
        <w:t xml:space="preserve">Agrega que el art. 23 de la ley 14.967 no resuelve la cuestión relativa a la tasa aplicable, por lo que su invocación no justificaría el criterio adoptado. Afirma que la liquidación aprobada arroja un resultado desproporcionado, en tanto la condena en costas se aproxima al monto reclamado, lo que -a su entender- vulnera los principios de razonabilidad y proporcionalidad. En subsidio, solicita que se practique una nueva liquidación conforme al esquema de tasa pura desde el siniestro hasta la demanda y, desde allí, tasa pasiva.</w:t>
      </w:r>
    </w:p>
    <w:p>
      <w:pPr>
        <w:pStyle w:val="[Normal]"/>
        <w:spacing w:line="360" w:lineRule="auto"/>
        <w:ind w:firstLine="1134"/>
        <w:jc w:val="both"/>
        <w:rPr>
          <w:lang w:val="es-AR" w:eastAsia="es-AR" w:bidi="es-AR"/>
        </w:rPr>
      </w:pPr>
      <w:r>
        <w:rPr>
          <w:lang w:val="es-AR" w:eastAsia="es-AR" w:bidi="es-AR"/>
        </w:rPr>
        <w:t xml:space="preserve">En segundo término, apela por elevados los honorarios regulados en favor de la representación letrada de la demandada, de la citada en garantía y de las personas profesionales intervinientes, por considerarlos desajustados en relación con la labor efectivamente cumplida y con el resultado del proceso.</w:t>
      </w:r>
    </w:p>
    <w:p>
      <w:pPr>
        <w:pStyle w:val="[Normal]"/>
        <w:spacing w:line="360" w:lineRule="auto"/>
        <w:ind w:firstLine="1134"/>
        <w:jc w:val="both"/>
        <w:rPr>
          <w:lang w:val="es-AR" w:eastAsia="es-AR" w:bidi="es-AR"/>
        </w:rPr>
      </w:pPr>
      <w:r>
        <w:rPr>
          <w:lang w:val="es-AR" w:eastAsia="es-AR" w:bidi="es-AR"/>
        </w:rPr>
        <w:t xml:space="preserve">Cuestiona especialmente la regulación practicada a favor de la mediadora prejudicial, por estimarla desproporcionada frente a la tarea desarrollada -limitada a la celebración de una audiencia sin acuerdo- e invoca la facultad judicial de adecuar equitativamente los estipendios cuando exista notoria desproporción, con sustento en el art. 1255 del CCyC.</w:t>
      </w:r>
    </w:p>
    <w:p>
      <w:pPr>
        <w:pStyle w:val="[Normal]"/>
        <w:spacing w:line="360" w:lineRule="auto"/>
        <w:ind w:firstLine="1134"/>
        <w:jc w:val="both"/>
        <w:rPr>
          <w:b/>
          <w:lang w:val="es-AR" w:eastAsia="es-AR" w:bidi="es-AR"/>
        </w:rPr>
      </w:pPr>
      <w:r>
        <w:rPr>
          <w:lang w:val="es-AR" w:eastAsia="es-AR" w:bidi="es-AR"/>
        </w:rPr>
        <w:t xml:space="preserve">Finalmente, para el supuesto de mantenerse regulaciones que excedan los límites legales, solicita la aplicación del tope previsto en el art. 730 del CCyC.</w:t>
      </w:r>
    </w:p>
    <w:p>
      <w:pPr>
        <w:pStyle w:val="[Normal]"/>
        <w:spacing w:line="360" w:lineRule="auto"/>
        <w:ind w:firstLine="1134"/>
        <w:jc w:val="both"/>
        <w:rPr>
          <w:b/>
          <w:lang w:val="es-AR" w:eastAsia="es-AR" w:bidi="es-AR"/>
        </w:rPr>
      </w:pPr>
      <w:r>
        <w:rPr>
          <w:lang w:val="es-AR" w:eastAsia="es-AR" w:bidi="es-AR"/>
        </w:rPr>
        <w:t xml:space="preserve">La letrada a cargo del Departamento de Cobro de Honorarios de Peritos Oficiales y Ejecución de Tasa de Justicia Departamental al contestar el traslado conferido rebate los argumentos expuestos por el apelante sosteniendo que los honorarios fijados al perito de la Asesoría Pericial Departamental no resultan elevados en tanto guardan adecuada proporcionalidad con las restantes regulaciones practicadas en la causa.</w:t>
      </w:r>
    </w:p>
    <w:p>
      <w:pPr>
        <w:pStyle w:val="[Normal]"/>
        <w:spacing w:line="360" w:lineRule="auto"/>
        <w:ind w:firstLine="1134"/>
        <w:jc w:val="both"/>
        <w:rPr>
          <w:b/>
          <w:lang w:val="es-AR" w:eastAsia="es-AR" w:bidi="es-AR"/>
        </w:rPr>
      </w:pPr>
      <w:r>
        <w:rPr>
          <w:lang w:val="es-AR" w:eastAsia="es-AR" w:bidi="es-AR"/>
        </w:rPr>
        <w:t xml:space="preserve">A su turno el apoderado de </w:t>
      </w:r>
      <w:r>
        <w:rPr>
          <w:lang w:val="es-AR" w:eastAsia="es-AR" w:bidi="es-AR"/>
        </w:rPr>
        <w:t xml:space="preserve">SMG Compañía Argentina de Seguros SA</w:t>
      </w:r>
      <w:r>
        <w:rPr>
          <w:lang w:val="es-AR" w:eastAsia="es-AR" w:bidi="es-AR"/>
        </w:rPr>
        <w:t xml:space="preserve"> contesta el traslado del memorial de agravios de la actora y solicita la confirmación íntegra de la resolución recurrida, con costas.</w:t>
      </w:r>
    </w:p>
    <w:p>
      <w:pPr>
        <w:pStyle w:val="[Normal]"/>
        <w:spacing w:line="360" w:lineRule="auto"/>
        <w:ind w:firstLine="1134"/>
        <w:jc w:val="both"/>
        <w:rPr>
          <w:lang w:val="es-AR" w:eastAsia="es-AR" w:bidi="es-AR"/>
        </w:rPr>
      </w:pPr>
      <w:r>
        <w:rPr>
          <w:lang w:val="es-AR" w:eastAsia="es-AR" w:bidi="es-AR"/>
        </w:rPr>
        <w:t xml:space="preserve">En cuanto al cuestionamiento de la base regulatoria, sostiene que el juzgado aplicó correctamente el art. 23 de la ley 14.967 al tomar como monto del pleito el total reclamado en la demanda con más los intereses allí solicitados, dado que la acción fue íntegramente desestimada. Destaca que fue la propia actora quien fijó el valor económico al interponer la demanda, reclamando capital más intereses y desvalorización monetaria desde la fecha del siniestro, por lo que -rechazada la pretensión- la obligación debe considerarse como deuda de dinero desde ese momento, devengando la tasa pasiva más alta del Banco de la Provincia de Buenos Aires, conforme la doctrina de la Suprema Corte de Justicia de la Provincia de Buenos Aires en el precedente “Cabrera”.</w:t>
      </w:r>
    </w:p>
    <w:p>
      <w:pPr>
        <w:pStyle w:val="[Normal]"/>
        <w:spacing w:line="360" w:lineRule="auto"/>
        <w:ind w:firstLine="1134"/>
        <w:jc w:val="both"/>
        <w:rPr>
          <w:lang w:val="es-AR" w:eastAsia="es-AR" w:bidi="es-AR"/>
        </w:rPr>
      </w:pPr>
      <w:r>
        <w:rPr>
          <w:lang w:val="es-AR" w:eastAsia="es-AR" w:bidi="es-AR"/>
        </w:rPr>
        <w:t xml:space="preserve">Afirma que los fallos “Vera” y “Nidera” no resultan aplicables, ya que refieren a supuestos en los que el crédito es cuantificado a valores actuales en la sentencia, situación que no se configura cuando la demanda es rechazada. Añade que la sentencia incluso fue favorable a la actora al no aplicar actualización monetaria, pese a la doctrina sentada por la Suprema Corte provincial en “Barrios”.</w:t>
      </w:r>
    </w:p>
    <w:p>
      <w:pPr>
        <w:pStyle w:val="[Normal]"/>
        <w:spacing w:line="360" w:lineRule="auto"/>
        <w:ind w:firstLine="1134"/>
        <w:jc w:val="both"/>
        <w:rPr>
          <w:lang w:val="es-AR" w:eastAsia="es-AR" w:bidi="es-AR"/>
        </w:rPr>
      </w:pPr>
      <w:r>
        <w:rPr>
          <w:lang w:val="es-AR" w:eastAsia="es-AR" w:bidi="es-AR"/>
        </w:rPr>
        <w:t xml:space="preserve">Respecto de los honorarios regulados a la representación letrada de la demandada y de la citada en garantía, sostiene que se ajustan a los parámetros del art. 21 de la ley 14.967, representando en conjunto un 18,55% de la base regulatoria, porcentaje que se encuentra dentro de la escala legal, por lo que el agravio debe desestimarse.</w:t>
      </w:r>
    </w:p>
    <w:p>
      <w:pPr>
        <w:pStyle w:val="[Normal]"/>
        <w:spacing w:line="360" w:lineRule="auto"/>
        <w:ind w:firstLine="1134"/>
        <w:jc w:val="both"/>
        <w:rPr>
          <w:b/>
          <w:lang w:val="es-AR" w:eastAsia="es-AR" w:bidi="es-AR"/>
        </w:rPr>
      </w:pPr>
      <w:r>
        <w:rPr>
          <w:lang w:val="es-AR" w:eastAsia="es-AR" w:bidi="es-AR"/>
        </w:rPr>
        <w:t xml:space="preserve">Finalmente, rechaza la aplicación del tope previsto en el art. 730 del CCyC, por considerarlo inaplicable en casos de demanda rechazada, en tanto la limitación allí prevista presupone un incumplimiento obligacional que no se verifica cuando no prospera la acción, criterio que atribuye a la Corte Suprema de Justicia de la Nación y a jurisprudencia comercial citada.</w:t>
      </w:r>
    </w:p>
    <w:p>
      <w:pPr>
        <w:pStyle w:val="[Normal]"/>
        <w:spacing w:line="360" w:lineRule="auto"/>
        <w:ind w:firstLine="1134"/>
        <w:jc w:val="both"/>
        <w:rPr>
          <w:lang w:val="es-AR" w:eastAsia="es-AR" w:bidi="es-AR"/>
        </w:rPr>
      </w:pPr>
      <w:r>
        <w:rPr>
          <w:lang w:val="es-AR" w:eastAsia="es-AR" w:bidi="es-AR"/>
        </w:rPr>
        <w:t xml:space="preserve">Entrando a resolver, el art. 23 tercer párrafo de la ley 14.967 establece que en los casos de demanda íntegramente desestimada se tendrá como valor o monto del pleito el total reclamado, incluyéndose los intereses si hubieran integrado la pretensión.</w:t>
      </w:r>
    </w:p>
    <w:p>
      <w:pPr>
        <w:pStyle w:val="[Normal]"/>
        <w:spacing w:line="360" w:lineRule="auto"/>
        <w:ind w:firstLine="1134"/>
        <w:jc w:val="both"/>
        <w:rPr>
          <w:lang w:val="es-AR" w:eastAsia="es-AR" w:bidi="es-AR"/>
        </w:rPr>
      </w:pPr>
      <w:r>
        <w:rPr>
          <w:lang w:val="es-AR" w:eastAsia="es-AR" w:bidi="es-AR"/>
        </w:rPr>
        <w:t xml:space="preserve">Lo que no aclara la ley es cuáles son los intereses que se deben computar, ante las múltiples tasas de interés vigentes en plaza. En este sentido, la doctrina ha señalado que las alternativas interpretativas posibles consisten en aplicar la tasa postulada en la demanda, o bien, la tasa de interés que aplica el tribunal de la causa para los créditos de cobro de sumas de dinero (conf. Valdez, Carlos Fernando, Ley de Honorarios de Abogados y Procuradores, Hammurabi, 2ª ed., 2024, pág. 129).</w:t>
      </w:r>
    </w:p>
    <w:p>
      <w:pPr>
        <w:pStyle w:val="[Normal]"/>
        <w:spacing w:line="360" w:lineRule="auto"/>
        <w:ind w:firstLine="1134"/>
        <w:jc w:val="both"/>
        <w:rPr>
          <w:lang w:val="es-AR" w:eastAsia="es-AR" w:bidi="es-AR"/>
        </w:rPr>
      </w:pPr>
      <w:r>
        <w:rPr>
          <w:lang w:val="es-AR" w:eastAsia="es-AR" w:bidi="es-AR"/>
        </w:rPr>
        <w:t xml:space="preserve">En el caso, advierto que la parte actora al promover la demanda no solicitó la aplicación de una tasa de interés específica (v. presentación electrónica de fecha 14-12-2023). No obstante, al practicar la liquidación aplicó la tasa pura del 6% anual desde la fecha del hecho hasta la sentencia y, a partir de allí, la tasa pasiva más alta fijada por el Banco de la Provincia de Buenos Aires para sus depósitos a treinta días.</w:t>
      </w:r>
    </w:p>
    <w:p>
      <w:pPr>
        <w:pStyle w:val="[Normal]"/>
        <w:spacing w:line="360" w:lineRule="auto"/>
        <w:ind w:firstLine="1134"/>
        <w:jc w:val="both"/>
        <w:rPr>
          <w:lang w:val="es-AR" w:eastAsia="es-AR" w:bidi="es-AR"/>
        </w:rPr>
      </w:pPr>
      <w:r>
        <w:rPr>
          <w:lang w:val="es-AR" w:eastAsia="es-AR" w:bidi="es-AR"/>
        </w:rPr>
        <w:t xml:space="preserve">Al respecto debo señalar que la tasa de interés postulada por el actor de acuerdo a la doctrina legal instituida en las causas "Vera" y "Nidera" ha sido concebida para los supuestos en que el capital es cuantificado judicialmente a valores actuales en la sentencia, circunstancia que no se verifica cuando la pretensión es íntegramente rechazada y el monto del pleito se determina exclusivamente a partir de lo reclamado por la parte actora en su demanda.</w:t>
      </w:r>
    </w:p>
    <w:p>
      <w:pPr>
        <w:pStyle w:val="[Normal]"/>
        <w:spacing w:line="360" w:lineRule="auto"/>
        <w:ind w:firstLine="1134"/>
        <w:jc w:val="both"/>
        <w:rPr>
          <w:lang w:val="es-AR" w:eastAsia="es-AR" w:bidi="es-AR"/>
        </w:rPr>
      </w:pPr>
      <w:r>
        <w:rPr>
          <w:lang w:val="es-AR" w:eastAsia="es-AR" w:bidi="es-AR"/>
        </w:rPr>
        <w:t xml:space="preserve">En consecuencia, la tasa postulada por la recurrente -propia de obligaciones de valor reconocidas judicialmente- no resulta trasladable al caso en examen. Corresponde aplicar, entonces, la tasa utilizada para obligaciones de dinero, esto es, la tasa pasiva más alta fijada por el Banco de la Provincia de Buenos Aires para sus depósitos a treinta (30) días.</w:t>
      </w:r>
    </w:p>
    <w:p>
      <w:pPr>
        <w:pStyle w:val="[Normal]"/>
        <w:spacing w:line="360" w:lineRule="auto"/>
        <w:ind w:firstLine="1134"/>
        <w:jc w:val="both"/>
        <w:rPr>
          <w:lang w:val="es-AR" w:eastAsia="es-AR" w:bidi="es-AR"/>
        </w:rPr>
      </w:pPr>
      <w:r>
        <w:rPr>
          <w:lang w:val="es-AR" w:eastAsia="es-AR" w:bidi="es-AR"/>
        </w:rPr>
        <w:t xml:space="preserve">Sin embargo, asiste razón a la apelante en cuanto señala la inconsistencia en el modo de cómputo de los intereses.</w:t>
      </w:r>
    </w:p>
    <w:p>
      <w:pPr>
        <w:pStyle w:val="[Normal]"/>
        <w:spacing w:line="360" w:lineRule="auto"/>
        <w:ind w:firstLine="1134"/>
        <w:jc w:val="both"/>
        <w:rPr>
          <w:lang w:val="es-AR" w:eastAsia="es-AR" w:bidi="es-AR"/>
        </w:rPr>
      </w:pPr>
      <w:r>
        <w:rPr>
          <w:lang w:val="es-AR" w:eastAsia="es-AR" w:bidi="es-AR"/>
        </w:rPr>
        <w:t xml:space="preserve">En efecto, si el capital considerado como base arancelaria se encuentra expresado conforme los valores vigentes al momento de la promoción de la acción, los intereses no se pueden devengar desde una fecha anterior pues ello implicaría adicionar intereses respecto de un capital que aún no había sido fijado.</w:t>
      </w:r>
    </w:p>
    <w:p>
      <w:pPr>
        <w:pStyle w:val="[Normal]"/>
        <w:spacing w:line="360" w:lineRule="auto"/>
        <w:ind w:firstLine="1134"/>
        <w:jc w:val="both"/>
        <w:rPr>
          <w:lang w:val="es-AR" w:eastAsia="es-AR" w:bidi="es-AR"/>
        </w:rPr>
      </w:pPr>
      <w:r>
        <w:rPr>
          <w:lang w:val="es-AR" w:eastAsia="es-AR" w:bidi="es-AR"/>
        </w:rPr>
        <w:t xml:space="preserve">Ahora bien. Sabido es que las cuestiones atinentes a las liquidaciones no revisten el carácter de autoridad de cosa juzgada, desde que su aprobación lo es en todos los casos “en cuanto hubiere lugar por derecho”. En su mérito, esta Alzada se encuentra facultada para corregir, incluso de oficio, los errores cometidos al practicar la liquidación, aun cuando no mediare observación oportuna de la contraparte, pues una solución contraria equivaldría a imponer a los órganos jurisdiccionales convalidar defectos que tergiversen el contenido de la sentencia, con el consiguiente riesgo de generar un enriquecimiento sin causa o una aplicación irrazonable del derecho (conf. Morello, Sosa y Berizonce, Códigos Procesales…, Ed. Abeledo Perrot, T. VI-A, pág. 126).</w:t>
      </w:r>
    </w:p>
    <w:p>
      <w:pPr>
        <w:pStyle w:val="[Normal]"/>
        <w:spacing w:line="360" w:lineRule="auto"/>
        <w:ind w:firstLine="1134"/>
        <w:jc w:val="both"/>
        <w:rPr>
          <w:b/>
          <w:lang w:val="es-AR" w:eastAsia="es-AR" w:bidi="es-AR"/>
        </w:rPr>
      </w:pPr>
    </w:p>
    <w:p>
      <w:pPr>
        <w:pStyle w:val="[Normal]"/>
        <w:spacing w:line="360" w:lineRule="auto"/>
        <w:ind w:firstLine="1134"/>
        <w:jc w:val="both"/>
        <w:rPr>
          <w:lang w:val="es-AR" w:eastAsia="es-AR" w:bidi="es-AR"/>
        </w:rPr>
      </w:pPr>
      <w:r>
        <w:rPr>
          <w:lang w:val="es-AR" w:eastAsia="es-AR" w:bidi="es-AR"/>
        </w:rPr>
        <w:t xml:space="preserve">En ese contexto, corresponde precisar que en el caso la acción resarcitoria fue íntegramente desestimada, de modo que no existe obligación indemnizatoria reconocida judicialmente. En consecuencia, los intereses que aquí se computan no responden al resarcimiento de un daño efectivamente acreditado, sino exclusivamente a la determinación del “monto del pleito” a los fines arancelarios, conforme lo previsto en el art. 23 de la ley 14.967.</w:t>
      </w:r>
    </w:p>
    <w:p>
      <w:pPr>
        <w:pStyle w:val="[Normal]"/>
        <w:spacing w:line="360" w:lineRule="auto"/>
        <w:ind w:firstLine="1134"/>
        <w:jc w:val="both"/>
        <w:rPr>
          <w:lang w:val="es-AR" w:eastAsia="es-AR" w:bidi="es-AR"/>
        </w:rPr>
      </w:pPr>
      <w:r>
        <w:rPr>
          <w:lang w:val="es-AR" w:eastAsia="es-AR" w:bidi="es-AR"/>
        </w:rPr>
        <w:t xml:space="preserve">Desde esa perspectiva, no resulta trasladable sin más la regla del art. 1748 del CCyC -que fija el curso de los intereses desde que se produce cada perjuicio en obligaciones resarcitorias reconocidas-, pues en el caso no se verificó judicialmente la existencia del daño ni del deber de reparar.</w:t>
      </w:r>
    </w:p>
    <w:p>
      <w:pPr>
        <w:pStyle w:val="[Normal]"/>
        <w:spacing w:line="360" w:lineRule="auto"/>
        <w:ind w:firstLine="1134"/>
        <w:jc w:val="both"/>
        <w:rPr>
          <w:lang w:val="es-AR" w:eastAsia="es-AR" w:bidi="es-AR"/>
        </w:rPr>
      </w:pPr>
      <w:r>
        <w:rPr>
          <w:lang w:val="es-AR" w:eastAsia="es-AR" w:bidi="es-AR"/>
        </w:rPr>
        <w:t xml:space="preserve">Siendo ello así, y toda vez que el crédito cuya cuantificación sirve de base regulatoria carece de reconocimiento judicial previo, el único hito cierto a partir del cual puede comenzar el cómputo de intereses es la fecha de la sentencia de primera instancia que rechazó la demanda (5-2-2025), la que quedó firme al ser confirmada por esta Alzada el 29-5-2025.</w:t>
      </w:r>
    </w:p>
    <w:p>
      <w:pPr>
        <w:pStyle w:val="[Normal]"/>
        <w:spacing w:line="360" w:lineRule="auto"/>
        <w:ind w:firstLine="1134"/>
        <w:jc w:val="both"/>
        <w:rPr>
          <w:lang w:val="es-AR" w:eastAsia="es-AR" w:bidi="es-AR"/>
        </w:rPr>
      </w:pPr>
      <w:r>
        <w:rPr>
          <w:lang w:val="es-AR" w:eastAsia="es-AR" w:bidi="es-AR"/>
        </w:rPr>
        <w:t xml:space="preserve">A partir de ese momento se consolida procesalmente la improcedencia de la pretensión y correlativamente la determinación definitiva del monto reclamado como parámetro arancelario. En tal contexto, el devengamiento de intereses desde esa fecha evita adicionar réditos respecto de un capital que, hasta entonces, no tenía determinación firme ni existencia jurídica reconocida en el proceso.</w:t>
      </w:r>
    </w:p>
    <w:p>
      <w:pPr>
        <w:pStyle w:val="[Normal]"/>
        <w:spacing w:line="360" w:lineRule="auto"/>
        <w:ind w:firstLine="1134"/>
        <w:jc w:val="both"/>
        <w:rPr>
          <w:lang w:val="es-AR" w:eastAsia="es-AR" w:bidi="es-AR"/>
        </w:rPr>
      </w:pPr>
      <w:r>
        <w:rPr>
          <w:lang w:val="es-AR" w:eastAsia="es-AR" w:bidi="es-AR"/>
        </w:rPr>
        <w:t xml:space="preserve">En función de lo expuesto, propongo al Acuerdo dejar sin efecto la liquidación aprobada y ordenar que en la instancia de origen se practique una nueva liquidación a los fines de determinar la base arancelaria, calculando los intereses sobre el monto reclamado en la demanda -$27.576.196,50- desde el 5-2-2025 y hasta la fecha de la nueva liquidación, conforme la tasa pasiva más alta fijada por el Banco de la Provincia de Buenos Aires.</w:t>
      </w:r>
    </w:p>
    <w:p>
      <w:pPr>
        <w:pStyle w:val="[Normal]"/>
        <w:spacing w:line="360" w:lineRule="auto"/>
        <w:ind w:firstLine="1134"/>
        <w:jc w:val="both"/>
        <w:rPr>
          <w:lang w:val="es-AR" w:eastAsia="es-AR" w:bidi="es-AR"/>
        </w:rPr>
      </w:pPr>
      <w:r>
        <w:rPr>
          <w:lang w:val="es-AR" w:eastAsia="es-AR" w:bidi="es-AR"/>
        </w:rPr>
        <w:t xml:space="preserve">Como derivación de ello, corresponde dejar sin efecto las regulaciones de honorarios practicadas a letrados, peritos y mediadora interviniente, las que deberán adecuarse a la nueva base que se determine, deviniendo abstractos los recursos interpuestos contra aquellas, en tanto la base regulatoria que les sirve de sustento ha quedado sin efecto.</w:t>
      </w:r>
    </w:p>
    <w:p>
      <w:pPr>
        <w:pStyle w:val="[Normal]"/>
        <w:spacing w:line="360" w:lineRule="auto"/>
        <w:ind w:firstLine="1134"/>
        <w:jc w:val="both"/>
        <w:rPr>
          <w:lang w:val="es-AR" w:eastAsia="es-AR" w:bidi="es-AR"/>
        </w:rPr>
      </w:pPr>
      <w:r>
        <w:rPr>
          <w:lang w:val="es-AR" w:eastAsia="es-AR" w:bidi="es-AR"/>
        </w:rPr>
        <w:t xml:space="preserve">Las costas de Alzada corresponde que se impongan en el orden causado, toda vez que el recurso prospera solo parcialmente y la modificación introducida deriva además del ejercicio de la potestad correctiva oficiosa de esta Cámara respecto de la liquidación aprobada, lo que impide predicar un vencimiento pleno de alguna de las partes (art. 68/9 y ccs.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y, en su mérito, revocar por los fundamentos aquí expuestos la resolución apelada, dejando sin efecto la liquidación aprobada y las regulaciones de honorarios practicadas. En consecuencia, deberá el juzgado de origen practicar una nueva liquidación y posterior regulación conforme las pautas establecidas en los considerandos precedentes.</w:t>
      </w:r>
    </w:p>
    <w:p>
      <w:pPr>
        <w:pStyle w:val="[Normal]"/>
        <w:spacing w:line="360" w:lineRule="auto"/>
        <w:ind w:firstLine="1134"/>
        <w:jc w:val="both"/>
        <w:rPr>
          <w:lang w:val="es-AR" w:eastAsia="es-AR" w:bidi="es-AR"/>
        </w:rPr>
      </w:pPr>
      <w:r>
        <w:rPr>
          <w:lang w:val="es-AR" w:eastAsia="es-AR" w:bidi="es-AR"/>
        </w:rPr>
        <w:t xml:space="preserve">Imponer las costas de Alzada en el orden causado (art. 68/9 y ccs. del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y, en su mérito, revocar la resolución apelada, dejando sin efecto la liquidación aprobada y las regulaciones de honorarios practicadas. En consecuencia, deberá el juzgado de origen practicar una nueva liquidación y posterior regulación conforme las pautas establecidas en los considerandos precedentes.</w:t>
      </w:r>
    </w:p>
    <w:p>
      <w:pPr>
        <w:pStyle w:val="[Normal]"/>
        <w:spacing w:line="360" w:lineRule="auto"/>
        <w:ind w:firstLine="1134"/>
        <w:jc w:val="both"/>
        <w:rPr>
          <w:lang w:val="es-AR" w:eastAsia="es-AR" w:bidi="es-AR"/>
        </w:rPr>
      </w:pPr>
      <w:r>
        <w:rPr>
          <w:lang w:val="es-AR" w:eastAsia="es-AR" w:bidi="es-AR"/>
        </w:rPr>
        <w:t xml:space="preserve">Imponer las costas de Alzada en el orden causado (art. 68/9 y ccs.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10:13:58 -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10:37:56 -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11:04:50 -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‰9'")è&amp;kgoeŠ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250702090006757179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10/03/2026 11:08:45 hs. bajo el número RS-20-2026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