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5867-25</w:t>
      </w:r>
      <w:r>
        <w:rPr>
          <w:lang w:val="es-AR" w:eastAsia="es-AR" w:bidi="es-AR"/>
        </w:rPr>
        <w:t xml:space="preserve">  caratulada </w:t>
      </w:r>
      <w:r>
        <w:rPr>
          <w:b/>
          <w:lang w:val="es-AR" w:eastAsia="es-AR" w:bidi="es-AR"/>
        </w:rPr>
        <w:t xml:space="preserve">"</w:t>
      </w:r>
      <w:r>
        <w:rPr>
          <w:b/>
          <w:color w:val="000000"/>
          <w:lang w:val="es-AR" w:eastAsia="es-AR" w:bidi="es-AR"/>
        </w:rPr>
        <w:t xml:space="preserve">Q. E. L. C/ B. M. S. G. S/ LIQUIDACION DE REGIMEN PATRIMONIAL DEL MATRIMONIO</w:t>
      </w:r>
      <w:r>
        <w:rPr>
          <w:b/>
          <w:lang w:val="es-AR" w:eastAsia="es-AR" w:bidi="es-AR"/>
        </w:rPr>
        <w:t xml:space="preserve">" </w:t>
      </w:r>
      <w:r>
        <w:rPr>
          <w:lang w:val="es-AR" w:eastAsia="es-AR" w:bidi="es-AR"/>
        </w:rPr>
        <w:t xml:space="preserve">, Expte. </w:t>
      </w:r>
      <w:r>
        <w:rPr>
          <w:color w:val="000000"/>
          <w:lang w:val="es-AR" w:eastAsia="es-AR" w:bidi="es-AR"/>
        </w:rPr>
        <w:t xml:space="preserve">37.523</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lang w:val="es-AR" w:eastAsia="es-AR" w:bidi="es-AR"/>
        </w:rPr>
        <w:t xml:space="preserve">El Sr. Juez de la anterior instancia hizo</w:t>
      </w:r>
      <w:r>
        <w:rPr>
          <w:color w:val="000000"/>
          <w:lang w:val="es-AR" w:eastAsia="es-AR" w:bidi="es-AR"/>
        </w:rPr>
        <w:t xml:space="preserve"> lugar a la liquidación de los bienes de la comunidad de ganancias incoada por el Sr. E. L. Q. contra la Sra. M. S. G. B. declarando como pertenecientes a la comunidad conyugal con carácter de bienes gananciales que integran la masa partible: a) el inmueble ubicado en calle xxx de Pergamino Nomenclatura Catastral: Circ. XV, Sec. A, Quinta 1, Mazana 1b, Parcela 18 Partida 68768; b) el automóvil marca Citroen modelo 307 aircross 1.6 VTI 115 EXC. P., rural 5 puertas, dominio MPX172 y c) los bienes integrantes del ajuar familiar determinados por inventario conforme mandamiento de fecha 8/9/2023 en los autos "Q. E. Luis C/ B. M. S. G. S/ Medidas Precautorias", Expte. 35658, con el escritorio antiguo y la consola mezcladora mara Pionner debiendo diferirse para la etapa de ejecución la forma de partición y valuación de los mismos (art. 465, 466 y cc.  CCyC).  Reconoció el derecho de recompensa a favor del Sr. E. L. Q. y a cargo de la comunidad conyugal por la venta sin reinversión de los siguientes bienes propios: a) dos (2) terreros recibidos por herencia de su padre (partidas inmobiliaria n° 51142 y 5050) -correspondiendo el 50% al Sr. Q.- la recompensa procede por la suma de dólares estadounidenses doce mil trescientos (U$S 12.300) y b) dos (2) terrenos recibidos por donación de su padre -partidas inmobiliarias 57582 y 57593- difiriendo para la etapa de ejecución la determinación del monto. (art. 491, 498, 499 y cc. del CCyC).  Impuso las costas en el orden causado, atento la forma en que fueran resueltas las pretensiones de ambas partes (art. 71 CPCC).  Difirió la regulación de honorarios para su oportunidad (art. 45 y cc de la ley 14.967).-</w:t>
      </w:r>
    </w:p>
    <w:p>
      <w:pPr>
        <w:pStyle w:val="[Normal]"/>
        <w:spacing w:line="360" w:lineRule="auto"/>
        <w:ind w:firstLine="1134"/>
        <w:jc w:val="both"/>
        <w:rPr>
          <w:color w:val="000000"/>
          <w:lang w:val="es-AR" w:eastAsia="es-AR" w:bidi="es-AR"/>
        </w:rPr>
      </w:pPr>
      <w:r>
        <w:rPr>
          <w:color w:val="000000"/>
          <w:lang w:val="es-AR" w:eastAsia="es-AR" w:bidi="es-AR"/>
        </w:rPr>
        <w:t xml:space="preserve">Tal decisorio, fue objeto de los recursos de apelación interpuestos el día 3-10-2025 por la actora y por la demandada, concedidos libremente y con efecto suspensivo el 6-10-2025 respectivamente.  Elevados los autos a esta alzada con fecha 16-10-2025 se ordeno expresar agravios a la parte actora, quien el 24-10-2025 los fundo.  Con fecha 28-10-2025 se ordenó expresar agravios a la parte demandada, quien el 5-11-2025 los fundó.  El día 11-11-2025 traslados recíprocos, los que fueron evacuados el 18-11-2025 por la parte actora y la demandada respectivamente. 20-11-2025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 sustento de su crítica recursiva, los agravios de la parte actora agregados electrónicamente se pueden aglutinar del siguiente modo:</w:t>
      </w:r>
    </w:p>
    <w:p>
      <w:pPr>
        <w:pStyle w:val="[Normal]"/>
        <w:spacing w:line="360" w:lineRule="auto"/>
        <w:ind w:firstLine="1134"/>
        <w:jc w:val="both"/>
        <w:rPr>
          <w:lang w:val="es-AR" w:eastAsia="es-AR" w:bidi="es-AR"/>
        </w:rPr>
      </w:pPr>
      <w:r>
        <w:rPr>
          <w:lang w:val="es-AR" w:eastAsia="es-AR" w:bidi="es-AR"/>
        </w:rPr>
        <w:t xml:space="preserve">1) Crítica la reducción en un 50% del crédito reconocido a favor del suscripto por la venta de dos terrenos recibidos por herencia de su padre identificados con partida inmobiliaria Nro 51142 y 5050, señalando que al momento de cuantificar o fijar la recompensa yerra al consignarlos determinando el valor de recompensa en el 50% del realmente invertido en beneficio de la comunidad, puesto que consigna el importe de U$S 12.300 y no la suma de U$S 24.600, contrariando según sus dichos las directivas del art. 491 del CCCN.-  	</w:t>
      </w:r>
    </w:p>
    <w:p>
      <w:pPr>
        <w:pStyle w:val="[Normal]"/>
        <w:spacing w:line="360" w:lineRule="auto"/>
        <w:ind w:firstLine="1134"/>
        <w:jc w:val="both"/>
        <w:rPr>
          <w:lang w:val="es-AR" w:eastAsia="es-AR" w:bidi="es-AR"/>
        </w:rPr>
      </w:pPr>
      <w:r>
        <w:rPr>
          <w:lang w:val="es-AR" w:eastAsia="es-AR" w:bidi="es-AR"/>
        </w:rPr>
        <w:t xml:space="preserve">2) Infundada distinción entre los bienes propios que integran el derecho a recompensa, en tanto el dominio adquirido por escritura pública n° 36 por venta realizada en dólares fue calificado como deuda de valor y el dominio nro. 231 por venta realizada en pesos se clasificó como deuda dineraria, ignorándose que en ambos casos se trataría de deudas de valor por cuanto sendas restituciones tienen por objeto un valor económico que luego se traduce en dinero para su cumplimiento.-</w:t>
      </w:r>
    </w:p>
    <w:p>
      <w:pPr>
        <w:pStyle w:val="[Normal]"/>
        <w:spacing w:line="360" w:lineRule="auto"/>
        <w:ind w:firstLine="1134"/>
        <w:jc w:val="both"/>
        <w:rPr>
          <w:lang w:val="es-AR" w:eastAsia="es-AR" w:bidi="es-AR"/>
        </w:rPr>
      </w:pPr>
      <w:r>
        <w:rPr>
          <w:lang w:val="es-AR" w:eastAsia="es-AR" w:bidi="es-AR"/>
        </w:rPr>
        <w:t xml:space="preserve">3) Achaca omisión en valorar y reconocer que le corresponde al actor un crédito por una deuda de la comunidad cancelada con posterioridad a la separación de las partes aludiendo a las constancias documentales exhibidas en la causa. Dice que su parte no reclamó oportunamente el reconocimiento del pago cancelatorio del crédito hipotecario que pesaba sobre el bien inmueble de calle xxx pero que obran constancias que acreditan que el mismo fue abonado por el suscripto luego de la separación y que generada la recompensa o crédito el juez puede tenerlo en cuenta si se probó objetivamente el pago y naturaleza de la deuda.-</w:t>
      </w:r>
    </w:p>
    <w:p>
      <w:pPr>
        <w:pStyle w:val="[Normal]"/>
        <w:spacing w:line="360" w:lineRule="auto"/>
        <w:ind w:firstLine="1134"/>
        <w:jc w:val="both"/>
        <w:rPr>
          <w:lang w:val="es-AR" w:eastAsia="es-AR" w:bidi="es-AR"/>
        </w:rPr>
      </w:pPr>
      <w:r>
        <w:rPr>
          <w:lang w:val="es-AR" w:eastAsia="es-AR" w:bidi="es-AR"/>
        </w:rPr>
        <w:t xml:space="preserve">4) Se duele contra la imposición de costas en el orden causado y aduce que el resultado no fue parcialmente favorable a ambos litigantes sino que los planteos acogidos fueron los formalizados por el actor.-</w:t>
      </w:r>
    </w:p>
    <w:p>
      <w:pPr>
        <w:pStyle w:val="[Normal]"/>
        <w:spacing w:line="360" w:lineRule="auto"/>
        <w:ind w:firstLine="1134"/>
        <w:jc w:val="both"/>
        <w:rPr>
          <w:lang w:val="es-AR" w:eastAsia="es-AR" w:bidi="es-AR"/>
        </w:rPr>
      </w:pPr>
      <w:r>
        <w:rPr>
          <w:lang w:val="es-AR" w:eastAsia="es-AR" w:bidi="es-AR"/>
        </w:rPr>
        <w:t xml:space="preserve">Por su parte, la demandada puntualiza los siguientes puntos de queja como objeto del recurso de apelación incoado:</w:t>
      </w:r>
    </w:p>
    <w:p>
      <w:pPr>
        <w:pStyle w:val="[Normal]"/>
        <w:spacing w:line="360" w:lineRule="auto"/>
        <w:ind w:firstLine="1134"/>
        <w:jc w:val="both"/>
        <w:rPr>
          <w:lang w:val="es-AR" w:eastAsia="es-AR" w:bidi="es-AR"/>
        </w:rPr>
      </w:pPr>
      <w:r>
        <w:rPr>
          <w:lang w:val="es-AR" w:eastAsia="es-AR" w:bidi="es-AR"/>
        </w:rPr>
        <w:t xml:space="preserve">1) Objeta el reconocimiento del derecho de recompensa a favor del actor por la venta de los bienes propios recibidos por donación y herencia, por entender que el sentenciante omitió un análisis cronológico adecuado de los hechos. Sostiene que los lotes donados fueron vendidos en 2008 y que el inmueble asiento del hogar conyugal fue adquirido y construido recién en 2011 mediante créditos hipotecarios y municipales, por lo que el producido de aquellas ventas no habría sido destinado a dicha adquisición ni a la construcción.-</w:t>
      </w:r>
    </w:p>
    <w:p>
      <w:pPr>
        <w:pStyle w:val="[Normal]"/>
        <w:spacing w:line="360" w:lineRule="auto"/>
        <w:ind w:firstLine="1134"/>
        <w:jc w:val="both"/>
        <w:rPr>
          <w:lang w:val="es-AR" w:eastAsia="es-AR" w:bidi="es-AR"/>
        </w:rPr>
      </w:pPr>
      <w:r>
        <w:rPr>
          <w:lang w:val="es-AR" w:eastAsia="es-AR" w:bidi="es-AR"/>
        </w:rPr>
        <w:t xml:space="preserve">En cuanto a los lotes heredados y vendidos en 2018, afirma que la vivienda ya se encontraba edificada y habitada desde años antes, de modo que no puede presumirse su reinversión en bienes gananciales. Aduce que, en todo caso, los fondos obtenidos se aplicaron a gastos ordinarios de manutención y cargas de la comunidad, lo que no genera derecho de recompensa conforme el art. 489 del CCCN.-</w:t>
      </w:r>
    </w:p>
    <w:p>
      <w:pPr>
        <w:pStyle w:val="[Normal]"/>
        <w:spacing w:line="360" w:lineRule="auto"/>
        <w:ind w:firstLine="1134"/>
        <w:jc w:val="both"/>
        <w:rPr>
          <w:lang w:val="es-AR" w:eastAsia="es-AR" w:bidi="es-AR"/>
        </w:rPr>
      </w:pPr>
      <w:r>
        <w:rPr>
          <w:lang w:val="es-AR" w:eastAsia="es-AR" w:bidi="es-AR"/>
        </w:rPr>
        <w:t xml:space="preserve">En tal sentido, reprocha la aplicación -a su juicio automática- de la presunción de inversión del producido de bienes propios en beneficio de la comunidad, sin exigir al actor prueba concreta del destino de los fondos. En consecuencia, solicita que se revoque el reconocimiento de recompensas y que la masa partible se limite exclusivamente a los bienes gananciales reconocidos, sin créditos a favor del accionante.-</w:t>
      </w:r>
    </w:p>
    <w:p>
      <w:pPr>
        <w:pStyle w:val="[Normal]"/>
        <w:spacing w:line="360" w:lineRule="auto"/>
        <w:ind w:firstLine="1134"/>
        <w:jc w:val="both"/>
        <w:rPr>
          <w:lang w:val="es-AR" w:eastAsia="es-AR" w:bidi="es-AR"/>
        </w:rPr>
      </w:pPr>
      <w:r>
        <w:rPr>
          <w:lang w:val="es-AR" w:eastAsia="es-AR" w:bidi="es-AR"/>
        </w:rPr>
        <w:t xml:space="preserve">2) Se agravia por la valoración probatoria efectuada en la sentencia, sosteniendo que no se ponderó debidamente la prueba informativa relativa a los créditos destinados a la compra y construcción del inmueble ni la prueba testimonial ofrecida por su parte. Cuestiona asimismo que se haya otorgado mayor credibilidad a la declaración de la hermana del actor por sobre la prueba documental e informativa producida.</w:t>
      </w:r>
    </w:p>
    <w:p>
      <w:pPr>
        <w:pStyle w:val="[Normal]"/>
        <w:spacing w:line="360" w:lineRule="auto"/>
        <w:ind w:firstLine="1134"/>
        <w:jc w:val="both"/>
        <w:rPr>
          <w:lang w:val="es-AR" w:eastAsia="es-AR" w:bidi="es-AR"/>
        </w:rPr>
      </w:pPr>
      <w:r>
        <w:rPr>
          <w:lang w:val="es-AR" w:eastAsia="es-AR" w:bidi="es-AR"/>
        </w:rPr>
        <w:t xml:space="preserve">Posteriormente, la parte actora, al contestar el traslado conferido, solicita el rechazo íntegro de los agravios de la demandada por considerar que no constituyen una crítica concreta y razonada del fallo, sino una mera discrepancia con la valoración probatoria efectuada en primera instancia. Sostiene que se encuentra acreditado mediante instrumentos públicos la venta de bienes propios en 2008 y 2018, así como la adquisición posterior del lote y la construcción de la vivienda familiar, destacando que el crédito hipotecario fue otorgado únicamente para construcción y por un monto insuficiente, lo que demostraría que el producido de aquellos bienes propios benefició a la comunidad. Invoca la presunción del art. 491 del CCCN, afirmando que incumbía a la demandada probar que los fondos no fueron aplicados en beneficio común, carga que -según expresa- no fue cumplida. Añade que la contraria modificó su versión de los hechos a lo largo del proceso y que sus agravios carecen de sustento jurídico y probatorio suficiente, por lo que solicita su desestimación con costas.-</w:t>
      </w:r>
    </w:p>
    <w:p>
      <w:pPr>
        <w:pStyle w:val="[Normal]"/>
        <w:spacing w:line="360" w:lineRule="auto"/>
        <w:ind w:firstLine="1134"/>
        <w:jc w:val="both"/>
        <w:rPr>
          <w:lang w:val="es-AR" w:eastAsia="es-AR" w:bidi="es-AR"/>
        </w:rPr>
      </w:pPr>
      <w:r>
        <w:rPr>
          <w:lang w:val="es-AR" w:eastAsia="es-AR" w:bidi="es-AR"/>
        </w:rPr>
        <w:t xml:space="preserve">A su turno, la parte demandada, al evacuar el traslado de los agravios de la actora, solicita su rechazo íntegro con costas y ratifica en todos sus términos los fundamentos expuestos en su propio memorial. Sostiene que la sentencia debe revocarse en cuanto reconoce recompensas a favor del actor, reiterando que la línea temporal de los hechos demuestra que los fondos provenientes de la venta de bienes propios no fueron destinados a la adquisición ni a la construcción de la vivienda familiar, sino a gastos ordinarios de la comunidad. Asimismo, rechaza los planteos de la actora sobre la cuantificación y naturaleza de las recompensas, afirmando que, de admitirse alguna, debería diferenciarse su tratamiento según se trate de sumas en pesos o en dólares. Finalmente, postula que las costas deben mantenerse en el orden causado o adecuarse al resultado del recurso, insistiendo en la improcedencia de los agravios articulados por la contraria.-</w:t>
      </w:r>
    </w:p>
    <w:p>
      <w:pPr>
        <w:pStyle w:val="[Normal]"/>
        <w:spacing w:line="360" w:lineRule="auto"/>
        <w:ind w:firstLine="1134"/>
        <w:jc w:val="both"/>
        <w:rPr>
          <w:lang w:val="es-AR" w:eastAsia="es-AR" w:bidi="es-AR"/>
        </w:rPr>
      </w:pPr>
      <w:r>
        <w:rPr>
          <w:lang w:val="es-AR" w:eastAsia="es-AR" w:bidi="es-AR"/>
        </w:rPr>
        <w:t xml:space="preserve">1. Entrando a resolver, es posible afirmar que la cuestión litigiosa sometida a revisión versa sobre la procedencia, alcance y modo de efectivizar el derecho de recompensa reclamado por la parte actora como efecto derivado de la disolución de la sociedad conyugal. Y accesoriamente, la discusión transita por el modo en que cómo han sido impuestas las costas en el presente proceso.-</w:t>
      </w:r>
    </w:p>
    <w:p>
      <w:pPr>
        <w:pStyle w:val="[Normal]"/>
        <w:spacing w:line="360" w:lineRule="auto"/>
        <w:ind w:firstLine="1134"/>
        <w:jc w:val="both"/>
        <w:rPr>
          <w:lang w:val="es-AR" w:eastAsia="es-AR" w:bidi="es-AR"/>
        </w:rPr>
      </w:pPr>
      <w:r>
        <w:rPr>
          <w:lang w:val="es-AR" w:eastAsia="es-AR" w:bidi="es-AR"/>
        </w:rPr>
        <w:t xml:space="preserve">Metodológicamente, expondremos sobre la base de este territorio temático aquellos aspectos críticos que fueron objeto de los recursos de ambas, adoptando una lógica que avanza desde la procedencia a (en su caso) la extensión del derecho controvertido.-</w:t>
      </w:r>
    </w:p>
    <w:p>
      <w:pPr>
        <w:pStyle w:val="[Normal]"/>
        <w:spacing w:line="360" w:lineRule="auto"/>
        <w:ind w:firstLine="1134"/>
        <w:jc w:val="both"/>
        <w:rPr>
          <w:lang w:val="es-AR" w:eastAsia="es-AR" w:bidi="es-AR"/>
        </w:rPr>
      </w:pPr>
      <w:r>
        <w:rPr>
          <w:lang w:val="es-AR" w:eastAsia="es-AR" w:bidi="es-AR"/>
        </w:rPr>
        <w:t xml:space="preserve">2. Liminarmente señalo que el nuevo sistema normativo permite optar (tanto al contraer matrimonio como con posterioridad) por distintos regímenes de bienes, uno de estos era el régimen de la comunidad de ganancias, que hoy se aplica como supletorio en el caso de silencio de los cónyuges (art. 463 del CCCN).-</w:t>
      </w:r>
    </w:p>
    <w:p>
      <w:pPr>
        <w:pStyle w:val="[Normal]"/>
        <w:spacing w:line="360" w:lineRule="auto"/>
        <w:ind w:firstLine="1134"/>
        <w:jc w:val="both"/>
        <w:rPr>
          <w:lang w:val="es-AR" w:eastAsia="es-AR" w:bidi="es-AR"/>
        </w:rPr>
      </w:pPr>
      <w:r>
        <w:rPr>
          <w:lang w:val="es-AR" w:eastAsia="es-AR" w:bidi="es-AR"/>
        </w:rPr>
        <w:t xml:space="preserve">Por regla general todos los bienes que no sean propios serán gananciales, esto incluye a los bienes creados o adquiridos a titulo oneroso o comenzados a poseer durante la comunidad por uno u otro de los cónyuges, o por ambos en conjunto, siempre que no sean propios, los adquiridos por juegos de azar, a los frutos civiles de la profesión de cada esposo y a los adquiridos luego del matrimonio cuyo derecho haya sido adquirido con anterioridad al divorcio, descripción resuelta en el art. 465 del CCCN.-</w:t>
      </w:r>
    </w:p>
    <w:p>
      <w:pPr>
        <w:pStyle w:val="[Normal]"/>
        <w:spacing w:line="360" w:lineRule="auto"/>
        <w:ind w:firstLine="1134"/>
        <w:jc w:val="both"/>
        <w:rPr>
          <w:lang w:val="es-AR" w:eastAsia="es-AR" w:bidi="es-AR"/>
        </w:rPr>
      </w:pPr>
      <w:r>
        <w:rPr>
          <w:lang w:val="es-AR" w:eastAsia="es-AR" w:bidi="es-AR"/>
        </w:rPr>
        <w:t xml:space="preserve">La presunción salvo prueba en contrario, es que son gananciales todos los bienes existentes en el momento de la extinción de la comunidad (art. 466 del CCCN).-</w:t>
      </w:r>
    </w:p>
    <w:p>
      <w:pPr>
        <w:pStyle w:val="[Normal]"/>
        <w:spacing w:line="360" w:lineRule="auto"/>
        <w:ind w:firstLine="1134"/>
        <w:jc w:val="both"/>
        <w:rPr>
          <w:lang w:val="es-AR" w:eastAsia="es-AR" w:bidi="es-AR"/>
        </w:rPr>
      </w:pPr>
      <w:r>
        <w:rPr>
          <w:lang w:val="es-AR" w:eastAsia="es-AR" w:bidi="es-AR"/>
        </w:rPr>
        <w:t xml:space="preserve">Sabido es también que la comunidad de ganancias se extingue por a) la muerte de uno de los cónyuges, b) la anulación del matrimonio, c) el divorcio, d) la separación judicial de bienes y e) la modificación del régimen matrimonial convenido.-</w:t>
      </w:r>
    </w:p>
    <w:p>
      <w:pPr>
        <w:pStyle w:val="[Normal]"/>
        <w:spacing w:line="360" w:lineRule="auto"/>
        <w:ind w:firstLine="1134"/>
        <w:jc w:val="both"/>
        <w:rPr>
          <w:lang w:val="es-AR" w:eastAsia="es-AR" w:bidi="es-AR"/>
        </w:rPr>
      </w:pPr>
      <w:r>
        <w:rPr>
          <w:lang w:val="es-AR" w:eastAsia="es-AR" w:bidi="es-AR"/>
        </w:rPr>
        <w:t xml:space="preserve">En la especie ha sido la sentencia de divorcio decretada la que ha generado la extinción de la comunidad, explicando el art. 480 del CCCN entre otras cosas que </w:t>
      </w:r>
      <w:r>
        <w:rPr>
          <w:i/>
          <w:lang w:val="es-AR" w:eastAsia="es-AR" w:bidi="es-AR"/>
        </w:rPr>
        <w:t xml:space="preserve">"... la anulación del matrimonio, el divorcio o la separación de bienes producen la extinción de la comunidad con efecto retroactivo al día de la notificación de la demanda o petición conjunta de los cónyuges, pero si la separación de hecho sin voluntad de unirse precedió a la anulación del matrimonio o del divorcio, la sentencia tiene efectos retroactivos al día de esa separación.  A su vez el juez puede modificar la extensión del efecto retroactivo fundándose en la existencia de fraude o abuso del derecho.  Y además, en todos los casos quedan a salvo los derechos de terceros de buena fe que no sean adquirentes a titulo gratuito..."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Ahora bien, estamos frente a la liquidación de la comunidad entendiendo que es el proceso por el cual se dividen los bienes comunes que existan en el matrimonio, y que comprende todos aquellos actos posteriores a la disolución, como son la determinación del carácter de los bienes (gananciales o propios), la fijación de los créditos de la comunidad sobre cada uno de los cónyuges y los que pueden tener éstos en relación con aquella; el reintegro de los bienes propios y de la participación de los gananciales.-</w:t>
      </w:r>
    </w:p>
    <w:p>
      <w:pPr>
        <w:pStyle w:val="[Normal]"/>
        <w:spacing w:line="360" w:lineRule="auto"/>
        <w:ind w:firstLine="1134"/>
        <w:jc w:val="both"/>
        <w:rPr>
          <w:lang w:val="es-AR" w:eastAsia="es-AR" w:bidi="es-AR"/>
        </w:rPr>
      </w:pPr>
      <w:r>
        <w:rPr>
          <w:lang w:val="es-AR" w:eastAsia="es-AR" w:bidi="es-AR"/>
        </w:rPr>
        <w:t xml:space="preserve">A su vez, extinguida aquella se procede a la liquidación y se establece la cuenta de las recompensas que la comunidad debe a cada cónyuge y la que cada uno de ellos debe a la comunidad (art. 488 del CCCN), debiendo establecerse las cargas comunes y las obligaciones personales de cada ex esposo (art. 489 y 490 del CCCN).-</w:t>
      </w:r>
    </w:p>
    <w:p>
      <w:pPr>
        <w:pStyle w:val="[Normal]"/>
        <w:spacing w:line="360" w:lineRule="auto"/>
        <w:ind w:firstLine="1134"/>
        <w:jc w:val="both"/>
        <w:rPr>
          <w:lang w:val="es-AR" w:eastAsia="es-AR" w:bidi="es-AR"/>
        </w:rPr>
      </w:pPr>
      <w:r>
        <w:rPr>
          <w:lang w:val="es-AR" w:eastAsia="es-AR" w:bidi="es-AR"/>
        </w:rPr>
        <w:t xml:space="preserve">La regla general es que se debe recompensa al cónyuge si se ha beneficiado en detrimento del patrimonio propio, y el cónyuge a la comunidad si se ha beneficiado en detrimento del haber comunitario.  Si durante la comunidad uno de los cónyuges ha enajenado bienes propios a título oneroso sin reinvertir su precio, se presume, salvo prueba en contrario, que lo percibido ha beneficiado a la comunidad.  Si la participación de carácter propio de uno de los cónyuges en una sociedad adquiere un mayor valor a causa de la capitalización de utilidades durante la comunidad, el cónyuge socio debe recompensar a la comunidad, cláusula aplicable a los fondos de comercio (art. 491 del CCCN).-</w:t>
      </w:r>
    </w:p>
    <w:p>
      <w:pPr>
        <w:pStyle w:val="[Normal]"/>
        <w:spacing w:line="360" w:lineRule="auto"/>
        <w:ind w:firstLine="1134"/>
        <w:jc w:val="both"/>
        <w:rPr>
          <w:lang w:val="es-AR" w:eastAsia="es-AR" w:bidi="es-AR"/>
        </w:rPr>
      </w:pPr>
      <w:r>
        <w:rPr>
          <w:lang w:val="es-AR" w:eastAsia="es-AR" w:bidi="es-AR"/>
        </w:rPr>
        <w:t xml:space="preserve">El monto de la recompensa es igual al menor de los valores que representan la erogación y el provecho subsistente para el cónyuge o la comunidad, al día de la extinción, apreciados en valores constantes. Si de la erogación no derivó ningún beneficio, se toma en cuenta el valor de aquella (art. 493 del CCCN y su doctrina).-</w:t>
      </w:r>
    </w:p>
    <w:p>
      <w:pPr>
        <w:pStyle w:val="[Normal]"/>
        <w:spacing w:line="360" w:lineRule="auto"/>
        <w:ind w:firstLine="1134"/>
        <w:jc w:val="both"/>
        <w:rPr>
          <w:lang w:val="es-AR" w:eastAsia="es-AR" w:bidi="es-AR"/>
        </w:rPr>
      </w:pPr>
      <w:r>
        <w:rPr>
          <w:lang w:val="es-AR" w:eastAsia="es-AR" w:bidi="es-AR"/>
        </w:rPr>
        <w:t xml:space="preserve">Los bienes que originan recompensas se valúan según su estado al día de la disolución del régimen y según su valor al tiempo de la liquidación (art. 494 del CCCN y su doctrina).-</w:t>
      </w:r>
    </w:p>
    <w:p>
      <w:pPr>
        <w:pStyle w:val="[Normal]"/>
        <w:spacing w:line="360" w:lineRule="auto"/>
        <w:ind w:firstLine="1134"/>
        <w:jc w:val="both"/>
        <w:rPr>
          <w:lang w:val="es-AR" w:eastAsia="es-AR" w:bidi="es-AR"/>
        </w:rPr>
      </w:pPr>
      <w:r>
        <w:rPr>
          <w:lang w:val="es-AR" w:eastAsia="es-AR" w:bidi="es-AR"/>
        </w:rPr>
        <w:t xml:space="preserve">Desde esta descripción normativa y conceptual he de dar tratamiento a los puntos traídos en revisión a esta Alzada evacuando aquellos  propuestos en su conjunto en tanto están interrelacionados entre si.-</w:t>
      </w:r>
    </w:p>
    <w:p>
      <w:pPr>
        <w:pStyle w:val="[Normal]"/>
        <w:spacing w:line="360" w:lineRule="auto"/>
        <w:ind w:firstLine="1134"/>
        <w:jc w:val="both"/>
        <w:rPr>
          <w:lang w:val="es-AR" w:eastAsia="es-AR" w:bidi="es-AR"/>
        </w:rPr>
      </w:pPr>
      <w:r>
        <w:rPr>
          <w:lang w:val="es-AR" w:eastAsia="es-AR" w:bidi="es-AR"/>
        </w:rPr>
        <w:t xml:space="preserve">3.1. En cuanto al primer agravio de la parte actora, corresponde analizar si asiste razón al recurrente al sostener que el sentenciante redujo indebidamente en un cincuenta por ciento el crédito por recompensa derivado de la venta de los inmuebles recibidos por herencia -partidas inmobiliarias N° 51142 y 5050- fijándolo en la suma de U$S 12.300 en lugar de U$S 24.600.-</w:t>
      </w:r>
    </w:p>
    <w:p>
      <w:pPr>
        <w:pStyle w:val="[Normal]"/>
        <w:spacing w:line="360" w:lineRule="auto"/>
        <w:ind w:firstLine="1134"/>
        <w:jc w:val="both"/>
        <w:rPr>
          <w:lang w:val="es-AR" w:eastAsia="es-AR" w:bidi="es-AR"/>
        </w:rPr>
      </w:pPr>
      <w:r>
        <w:rPr>
          <w:lang w:val="es-AR" w:eastAsia="es-AR" w:bidi="es-AR"/>
        </w:rPr>
        <w:t xml:space="preserve">De las constancias de la causa surge que dichos bienes fueron enajenados en el año 2018 por la suma total de U$S 49.200, correspondiendo al actor -titular del cincuenta por ciento indiviso- la suma de U$S 24.600. Tal circunstancia no se encuentra controvertida. Asimismo, la sentencia de grado tuvo por acreditado que el producido de esa venta, al no haber sido reinvertido en otro bien propio, se presume aplicado en beneficio de la comunidad conforme la regla del art. 491, segundo párrafo, del Código Civil y Comercial.-</w:t>
      </w:r>
    </w:p>
    <w:p>
      <w:pPr>
        <w:pStyle w:val="[Normal]"/>
        <w:spacing w:line="360" w:lineRule="auto"/>
        <w:ind w:firstLine="1134"/>
        <w:jc w:val="both"/>
        <w:rPr>
          <w:lang w:val="es-AR" w:eastAsia="es-AR" w:bidi="es-AR"/>
        </w:rPr>
      </w:pPr>
      <w:r>
        <w:rPr>
          <w:lang w:val="es-AR" w:eastAsia="es-AR" w:bidi="es-AR"/>
        </w:rPr>
        <w:t xml:space="preserve">Ahora bien, el error denunciado por el apelante radica en que, pese a reconocer que el actor percibió U$S 24.600 por su participación en la venta, el magistrado fijó la recompensa en U$S 12.300, es decir, en el cincuenta por ciento de esa suma. Tal reducción no encuentra sustento normativo.-</w:t>
      </w:r>
    </w:p>
    <w:p>
      <w:pPr>
        <w:pStyle w:val="[Normal]"/>
        <w:spacing w:line="360" w:lineRule="auto"/>
        <w:ind w:firstLine="1134"/>
        <w:jc w:val="both"/>
        <w:rPr>
          <w:lang w:val="es-AR" w:eastAsia="es-AR" w:bidi="es-AR"/>
        </w:rPr>
      </w:pPr>
      <w:r>
        <w:rPr>
          <w:lang w:val="es-AR" w:eastAsia="es-AR" w:bidi="es-AR"/>
        </w:rPr>
        <w:t xml:space="preserve">En efecto, el sistema de recompensas no autoriza a dividir nuevamente el crédito cuando el bien propio pertenecía en condominio con un tercero ajeno a la comunidad. La comunidad sólo se ve beneficiada -en su caso- por el monto efectivamente ingresado al patrimonio del cónyuge titular. En este supuesto, el actor no era dueño del cien por ciento del inmueble, sino del cincuenta por ciento, por lo que únicamente esa porción integraba su patrimonio propio. En consecuencia, la eventual recompensa debe calcularse sobre la totalidad del importe que él percibió (U$S 24.600), y no sobre la mitad de esa suma.-</w:t>
      </w:r>
    </w:p>
    <w:p>
      <w:pPr>
        <w:pStyle w:val="[Normal]"/>
        <w:spacing w:line="360" w:lineRule="auto"/>
        <w:ind w:firstLine="1134"/>
        <w:jc w:val="both"/>
        <w:rPr>
          <w:lang w:val="es-AR" w:eastAsia="es-AR" w:bidi="es-AR"/>
        </w:rPr>
      </w:pPr>
      <w:r>
        <w:rPr>
          <w:lang w:val="es-AR" w:eastAsia="es-AR" w:bidi="es-AR"/>
        </w:rPr>
        <w:t xml:space="preserve">La reducción operada en la sentencia importa una doble disminución: primero, por la participación hereditaria del actor -correctamente limitada al 50% del precio total- y luego, sin fundamento legal, al fijar la recompensa en la mitad de lo efectivamente percibido. Ello contraría la lógica del art. 491 del CCCN, que impone presumir que </w:t>
      </w:r>
      <w:r>
        <w:rPr>
          <w:i/>
          <w:lang w:val="es-AR" w:eastAsia="es-AR" w:bidi="es-AR"/>
        </w:rPr>
        <w:t xml:space="preserve">“lo percibido”</w:t>
      </w:r>
      <w:r>
        <w:rPr>
          <w:lang w:val="es-AR" w:eastAsia="es-AR" w:bidi="es-AR"/>
        </w:rPr>
        <w:t xml:space="preserve">  benefició a la comunidad, siendo ese </w:t>
      </w:r>
      <w:r>
        <w:rPr>
          <w:i/>
          <w:lang w:val="es-AR" w:eastAsia="es-AR" w:bidi="es-AR"/>
        </w:rPr>
        <w:t xml:space="preserve">“percibido”</w:t>
      </w:r>
      <w:r>
        <w:rPr>
          <w:lang w:val="es-AR" w:eastAsia="es-AR" w:bidi="es-AR"/>
        </w:rPr>
        <w:t xml:space="preserve"> el monto íntegro ingresado al patrimonio propio del cónyuge.-</w:t>
      </w:r>
    </w:p>
    <w:p>
      <w:pPr>
        <w:pStyle w:val="[Normal]"/>
        <w:spacing w:line="360" w:lineRule="auto"/>
        <w:ind w:firstLine="1134"/>
        <w:jc w:val="both"/>
        <w:rPr>
          <w:lang w:val="es-AR" w:eastAsia="es-AR" w:bidi="es-AR"/>
        </w:rPr>
      </w:pPr>
      <w:r>
        <w:rPr>
          <w:lang w:val="es-AR" w:eastAsia="es-AR" w:bidi="es-AR"/>
        </w:rPr>
        <w:t xml:space="preserve">Sin perjuicio de que la determinación definitiva del quantum deberá armonizarse con la regla del art. 493 del CCCN -esto es, el menor valor entre la erogación y el provecho subsistente al momento de la extinción del régimen-, en lo que aquí se examina asiste razón al apelante en cuanto a que la base de cálculo no puede limitarse a U$S 12.300.-</w:t>
      </w:r>
    </w:p>
    <w:p>
      <w:pPr>
        <w:pStyle w:val="[Normal]"/>
        <w:spacing w:line="360" w:lineRule="auto"/>
        <w:ind w:firstLine="1134"/>
        <w:jc w:val="both"/>
        <w:rPr>
          <w:lang w:val="es-AR" w:eastAsia="es-AR" w:bidi="es-AR"/>
        </w:rPr>
      </w:pPr>
      <w:r>
        <w:rPr>
          <w:lang w:val="es-AR" w:eastAsia="es-AR" w:bidi="es-AR"/>
        </w:rPr>
        <w:t xml:space="preserve">Por consiguiente, corresponde hacer lugar al agravio en este punto, revocando la sentencia en cuanto fijó la recompensa por la venta de los inmuebles identificados con partidas 51142 y 5050 en la suma de U$S 12.300, debiendo establecerse como monto base la suma de U$S 24.600, sin perjuicio de la aplicación de las pautas de valuación previstas en el art. 493 del CCCN en la etapa de liquidación.-</w:t>
      </w:r>
    </w:p>
    <w:p>
      <w:pPr>
        <w:pStyle w:val="[Normal]"/>
        <w:spacing w:line="360" w:lineRule="auto"/>
        <w:ind w:firstLine="1134"/>
        <w:jc w:val="both"/>
        <w:rPr>
          <w:lang w:val="es-AR" w:eastAsia="es-AR" w:bidi="es-AR"/>
        </w:rPr>
      </w:pPr>
      <w:r>
        <w:rPr>
          <w:lang w:val="es-AR" w:eastAsia="es-AR" w:bidi="es-AR"/>
        </w:rPr>
        <w:t xml:space="preserve">3.2. Corresponde ahora examinar el segundo agravio de la parte actora, dirigido a cuestionar la distinción efectuada en la sentencia entre las recompensas derivadas de la venta instrumentada por escritura pública n° 36 -celebrada en dólares estadounidenses-, calificada como deuda de valor, y la correspondiente a la escritura n° 231 -concertada en pesos-, considerada como deuda dineraria.-</w:t>
      </w:r>
    </w:p>
    <w:p>
      <w:pPr>
        <w:pStyle w:val="[Normal]"/>
        <w:spacing w:line="360" w:lineRule="auto"/>
        <w:ind w:firstLine="1134"/>
        <w:jc w:val="both"/>
        <w:rPr>
          <w:lang w:val="es-AR" w:eastAsia="es-AR" w:bidi="es-AR"/>
        </w:rPr>
      </w:pPr>
      <w:r>
        <w:rPr>
          <w:lang w:val="es-AR" w:eastAsia="es-AR" w:bidi="es-AR"/>
        </w:rPr>
        <w:t xml:space="preserve">El recurrente sostiene que tal diferenciación resulta infundada, por cuanto en ambos supuestos se trata de créditos por recompensa cuya naturaleza jurídica es la de deuda de valor, dado que el objeto de restitución no es una suma nominal preexistente sino el valor económico que el patrimonio propio aportó en beneficio de la comunidad.-</w:t>
      </w:r>
    </w:p>
    <w:p>
      <w:pPr>
        <w:pStyle w:val="[Normal]"/>
        <w:spacing w:line="360" w:lineRule="auto"/>
        <w:ind w:firstLine="1134"/>
        <w:jc w:val="both"/>
        <w:rPr>
          <w:lang w:val="es-AR" w:eastAsia="es-AR" w:bidi="es-AR"/>
        </w:rPr>
      </w:pPr>
      <w:r>
        <w:rPr>
          <w:lang w:val="es-AR" w:eastAsia="es-AR" w:bidi="es-AR"/>
        </w:rPr>
        <w:t xml:space="preserve">La queja merece favorable acogida.-</w:t>
      </w:r>
    </w:p>
    <w:p>
      <w:pPr>
        <w:pStyle w:val="[Normal]"/>
        <w:spacing w:line="360" w:lineRule="auto"/>
        <w:ind w:firstLine="1134"/>
        <w:jc w:val="both"/>
        <w:rPr>
          <w:lang w:val="es-AR" w:eastAsia="es-AR" w:bidi="es-AR"/>
        </w:rPr>
      </w:pPr>
      <w:r>
        <w:rPr>
          <w:lang w:val="es-AR" w:eastAsia="es-AR" w:bidi="es-AR"/>
        </w:rPr>
        <w:t xml:space="preserve">En efecto, la naturaleza de la recompensa no depende de la moneda en que se haya instrumentado la operación originaria, sino del fundamento jurídico del crédito. La recompensa constituye un mecanismo de recomposición patrimonial que procura restablecer el equilibrio entre masas -propia y ganancial- cuando una de ellas se ha enriquecido a expensas de la otra. Se trata, en esencia, de una obligación de valor, en tanto su objeto inmediato es la restitución del valor del beneficio subsistente al momento de la extinción del régimen, conforme lo establece el art. 493 del Código Civil y Comercial.-</w:t>
      </w:r>
    </w:p>
    <w:p>
      <w:pPr>
        <w:pStyle w:val="[Normal]"/>
        <w:spacing w:line="360" w:lineRule="auto"/>
        <w:ind w:firstLine="1134"/>
        <w:jc w:val="both"/>
        <w:rPr>
          <w:lang w:val="es-AR" w:eastAsia="es-AR" w:bidi="es-AR"/>
        </w:rPr>
      </w:pPr>
      <w:r>
        <w:rPr>
          <w:lang w:val="es-AR" w:eastAsia="es-AR" w:bidi="es-AR"/>
        </w:rPr>
        <w:t xml:space="preserve">La circunstancia de que el bien propio haya sido enajenado en pesos o en dólares no altera esa naturaleza. En ambos casos, lo que se reintegra no es la suma nominal percibida en su momento, sino el valor económico que representó la erogación efectuada en favor de la comunidad, apreciado en valores constantes al tiempo de la liquidación. Reducir la calificación jurídica a la moneda de pago implica confundir el medio de cumplimiento con la esencia del crédito.-</w:t>
      </w:r>
    </w:p>
    <w:p>
      <w:pPr>
        <w:pStyle w:val="[Normal]"/>
        <w:spacing w:line="360" w:lineRule="auto"/>
        <w:ind w:firstLine="1134"/>
        <w:jc w:val="both"/>
        <w:rPr>
          <w:lang w:val="es-AR" w:eastAsia="es-AR" w:bidi="es-AR"/>
        </w:rPr>
      </w:pPr>
      <w:r>
        <w:rPr>
          <w:lang w:val="es-AR" w:eastAsia="es-AR" w:bidi="es-AR"/>
        </w:rPr>
        <w:t xml:space="preserve">La doctrina es conteste en señalar que las recompensas operan como deudas de valor, precisamente porque su cuantificación debe atender al provecho subsistente y no al importe histórico. De lo contrario, se frustraría la finalidad equilibradora del instituto, especialmente en contextos inflacionarios o de variación cambiaría, donde la mera actualización nominal no refleja adecuadamente el valor real comprometido (cf. HERRERA, Marisa, CARAMELO, Gustavo, PICASSO, Sebastián, Código Civil y Comercial de la Nación comentado (1a ed., Vol. 2). Ed. Infojus, 2015).-</w:t>
      </w:r>
    </w:p>
    <w:p>
      <w:pPr>
        <w:pStyle w:val="[Normal]"/>
        <w:spacing w:line="360" w:lineRule="auto"/>
        <w:ind w:firstLine="1134"/>
        <w:jc w:val="both"/>
        <w:rPr>
          <w:lang w:val="es-AR" w:eastAsia="es-AR" w:bidi="es-AR"/>
        </w:rPr>
      </w:pPr>
      <w:r>
        <w:rPr>
          <w:lang w:val="es-AR" w:eastAsia="es-AR" w:bidi="es-AR"/>
        </w:rPr>
        <w:t xml:space="preserve">En consecuencia, la distinción introducida en la sentencia entre una recompensa considerada deuda de valor y otra calificada como deuda dineraria carece de sustento jurídico suficiente. Ambas deben recibir el mismo tratamiento conceptual, sin perjuicio de que, al momento de la liquidación, la conversión a moneda de curso legal se efectúe conforme a las reglas generales aplicables y a los parámetros del art. 493 del CCCN.-</w:t>
      </w:r>
    </w:p>
    <w:p>
      <w:pPr>
        <w:pStyle w:val="[Normal]"/>
        <w:spacing w:line="360" w:lineRule="auto"/>
        <w:ind w:firstLine="1134"/>
        <w:jc w:val="both"/>
        <w:rPr>
          <w:lang w:val="es-AR" w:eastAsia="es-AR" w:bidi="es-AR"/>
        </w:rPr>
      </w:pPr>
      <w:r>
        <w:rPr>
          <w:lang w:val="es-AR" w:eastAsia="es-AR" w:bidi="es-AR"/>
        </w:rPr>
        <w:t xml:space="preserve">Por ello, corresponde hacer lugar al agravio en este aspecto, dejando sin efecto la diferenciación conceptual efectuada en la instancia de grado y estableciendo que ambos créditos por recompensa participan de la naturaleza de deudas de valor, debiendo cuantificarse conforme a dicho régimen al momento de la liquidación.-</w:t>
      </w:r>
    </w:p>
    <w:p>
      <w:pPr>
        <w:pStyle w:val="[Normal]"/>
        <w:spacing w:line="360" w:lineRule="auto"/>
        <w:ind w:firstLine="1134"/>
        <w:jc w:val="both"/>
        <w:rPr>
          <w:lang w:val="es-AR" w:eastAsia="es-AR" w:bidi="es-AR"/>
        </w:rPr>
      </w:pPr>
      <w:r>
        <w:rPr>
          <w:lang w:val="es-AR" w:eastAsia="es-AR" w:bidi="es-AR"/>
        </w:rPr>
        <w:t xml:space="preserve">3.3. El tercer agravio objeto de la apelación se asienta sobre la base de que el sentenciante omitió valorar y reconocer un crédito a su favor derivado del pago -con posterioridad a la separación- del saldo cancelatorio del crédito hipotecario que gravaba el inmueble sito en calle Pedro Baños 280, bien integrante de la comunidad.-</w:t>
      </w:r>
    </w:p>
    <w:p>
      <w:pPr>
        <w:pStyle w:val="[Normal]"/>
        <w:spacing w:line="360" w:lineRule="auto"/>
        <w:ind w:firstLine="1134"/>
        <w:jc w:val="both"/>
        <w:rPr>
          <w:lang w:val="es-AR" w:eastAsia="es-AR" w:bidi="es-AR"/>
        </w:rPr>
      </w:pPr>
      <w:r>
        <w:rPr>
          <w:lang w:val="es-AR" w:eastAsia="es-AR" w:bidi="es-AR"/>
        </w:rPr>
        <w:t xml:space="preserve">Al respecto, el recurrente afirma que, si bien no articuló en forma expresa tal pretensión en la etapa inicial, obran en la causa constancias documentales que acreditan objetivamente que el crédito fue cancelado por él luego de producida la ruptura de la convivencia, y que, acreditada la naturaleza ganancial de la deuda, el magistrado se encontraba habilitado para reconocer la recompensa correspondiente al momento de efectuar el balance previsto por el art. 495 del CCCN.-</w:t>
      </w:r>
    </w:p>
    <w:p>
      <w:pPr>
        <w:pStyle w:val="[Normal]"/>
        <w:spacing w:line="360" w:lineRule="auto"/>
        <w:ind w:firstLine="1134"/>
        <w:jc w:val="both"/>
        <w:rPr>
          <w:lang w:val="es-AR" w:eastAsia="es-AR" w:bidi="es-AR"/>
        </w:rPr>
      </w:pPr>
      <w:r>
        <w:rPr>
          <w:lang w:val="es-AR" w:eastAsia="es-AR" w:bidi="es-AR"/>
        </w:rPr>
        <w:t xml:space="preserve">La queja no puede prosperar.-</w:t>
      </w:r>
    </w:p>
    <w:p>
      <w:pPr>
        <w:pStyle w:val="[Normal]"/>
        <w:spacing w:line="360" w:lineRule="auto"/>
        <w:ind w:firstLine="1134"/>
        <w:jc w:val="both"/>
        <w:rPr>
          <w:lang w:val="es-AR" w:eastAsia="es-AR" w:bidi="es-AR"/>
        </w:rPr>
      </w:pPr>
      <w:r>
        <w:rPr>
          <w:lang w:val="es-AR" w:eastAsia="es-AR" w:bidi="es-AR"/>
        </w:rPr>
        <w:t xml:space="preserve">En primer término, el proceso de liquidación del régimen patrimonial se rige por el principio dispositivo, que impone a las partes la carga de introducir en tiempo oportuno los hechos y créditos cuya declaración pretenden. El reconocimiento de una recompensa o crédito no puede fundarse exclusivamente en la existencia material de una constancia documental agregada a la causa, sino que requiere una petición concreta, clara y tempestiva que delimite el objeto de la decisión y permita a la contraparte ejercer adecuadamente su derecho de defensa.-</w:t>
      </w:r>
    </w:p>
    <w:p>
      <w:pPr>
        <w:pStyle w:val="[Normal]"/>
        <w:spacing w:line="360" w:lineRule="auto"/>
        <w:ind w:firstLine="1134"/>
        <w:jc w:val="both"/>
        <w:rPr>
          <w:lang w:val="es-AR" w:eastAsia="es-AR" w:bidi="es-AR"/>
        </w:rPr>
      </w:pPr>
      <w:r>
        <w:rPr>
          <w:lang w:val="es-AR" w:eastAsia="es-AR" w:bidi="es-AR"/>
        </w:rPr>
        <w:t xml:space="preserve">De las actuaciones no surge que el actor hubiera incorporado en su demanda de liquidación el reclamo específico relativo al pago post separación del crédito hipotecario como crédito a su favor contra la comunidad o contra la ex cónyuge. La sentencia se pronunció sobre las recompensas oportunamente solicitadas y debatidas, sin que pueda imputársele omisión respecto de un planteo que no fue formalmente introducido como capítulo autónomo de la pretensión.-</w:t>
      </w:r>
    </w:p>
    <w:p>
      <w:pPr>
        <w:pStyle w:val="[Normal]"/>
        <w:spacing w:line="360" w:lineRule="auto"/>
        <w:ind w:firstLine="1134"/>
        <w:jc w:val="both"/>
        <w:rPr>
          <w:lang w:val="es-AR" w:eastAsia="es-AR" w:bidi="es-AR"/>
        </w:rPr>
      </w:pPr>
      <w:r>
        <w:rPr>
          <w:lang w:val="es-AR" w:eastAsia="es-AR" w:bidi="es-AR"/>
        </w:rPr>
        <w:t xml:space="preserve">En esta tónica, la Cámara de Apelaciones en lo Civil y Comercial de San Nicolás ha remarcado la relación de interdependencia lógica entre la carga postulatoria de las partes y el principio de congruencia procesal: </w:t>
      </w:r>
      <w:r>
        <w:rPr>
          <w:i/>
          <w:lang w:val="es-AR" w:eastAsia="es-AR" w:bidi="es-AR"/>
        </w:rPr>
        <w:t xml:space="preserve">"La sentencia ha de formularse de acuerdo a las constancias de la causa, conforme las acciones deducidas y los hechos alegados por las partes, por lo que se entiende que viola el principio de congruencia aquel fallo que decide sobre la pretensión del actor fundado en hechos ajenos a los alegados en la demanda. Introducir cuestiones, hechos o alegaciones sorpresivamente, de manera que las partes no hayan podido ejercer su plena defensa implica una clara violación al principio de congruencia y a la garantía de defensa en juicio"</w:t>
      </w:r>
      <w:r>
        <w:rPr>
          <w:lang w:val="es-AR" w:eastAsia="es-AR" w:bidi="es-AR"/>
        </w:rPr>
        <w:t xml:space="preserve">.-</w:t>
      </w:r>
    </w:p>
    <w:p>
      <w:pPr>
        <w:pStyle w:val="[Normal]"/>
        <w:spacing w:line="360" w:lineRule="auto"/>
        <w:ind w:firstLine="1134"/>
        <w:jc w:val="both"/>
        <w:rPr>
          <w:lang w:val="es-AR" w:eastAsia="es-AR" w:bidi="es-AR"/>
        </w:rPr>
      </w:pPr>
      <w:r>
        <w:rPr>
          <w:color w:val="000000"/>
          <w:lang w:val="es-AR" w:eastAsia="es-AR" w:bidi="es-AR"/>
        </w:rPr>
        <w:t xml:space="preserve">A ello se adiciona un segundo valladar, cuál es el límite que impone el principio de congruencia de segundo grado que impide a la Alzada atender cuestiones que no han sido propuestas al Juez de grado.  Al respecto tiene dicho la jurisprudencia que </w:t>
      </w:r>
      <w:r>
        <w:rPr>
          <w:i/>
          <w:color w:val="000000"/>
          <w:lang w:val="es-AR" w:eastAsia="es-AR" w:bidi="es-AR"/>
        </w:rPr>
        <w:t xml:space="preserve">"Lo preceptuado por el artículo 272 del Código Procesal Civil y Comercial tiene su razón de ser en la naturaleza jurídica del recurso de apelación en nuestro sistema legal, que no importa un nuevo juicio sino un nuevo examen, por lo cual el material sobre la que debe trabajar la Alzada es nada más que el acumulado en primera instancia. Si se admitiese que en la Alzada pudieran tratarse capítulos no esgrimidos en primera instancia, o fundados en hechos no articulados en ella, importaría alterar los términos en que quedó trabada la litis, con menoscabo del derecho de defensa". (CC0203 LP 119982 RSD-69-16 S 17/05/2016 JUBA B356276).-</w:t>
      </w:r>
    </w:p>
    <w:p>
      <w:pPr>
        <w:pStyle w:val="[Normal]"/>
        <w:spacing w:line="360" w:lineRule="auto"/>
        <w:ind w:firstLine="1134"/>
        <w:jc w:val="both"/>
        <w:rPr>
          <w:lang w:val="es-AR" w:eastAsia="es-AR" w:bidi="es-AR"/>
        </w:rPr>
      </w:pPr>
      <w:r>
        <w:rPr>
          <w:lang w:val="es-AR" w:eastAsia="es-AR" w:bidi="es-AR"/>
        </w:rPr>
        <w:t xml:space="preserve">En esta línea, la Corte bonaerense ha sostenido que: </w:t>
      </w:r>
      <w:r>
        <w:rPr>
          <w:i/>
          <w:lang w:val="es-AR" w:eastAsia="es-AR" w:bidi="es-AR"/>
        </w:rPr>
        <w:t xml:space="preserve">"Por aplicación del principio de congruencia, los términos en que queda trabada la litis se proyectan sobre el cometido del tribunal de apelación y la jurisdicción revisora del mismo sólo puede ejercerse dentro del ámbito de las cuestiones que forman parte del thema decidendum, es decir, las planteadas al juez de grado, claro está limitada por el alcance y extensión de los agravios llevados a la instancia revisora por el recurrente"</w:t>
      </w:r>
      <w:r>
        <w:rPr>
          <w:lang w:val="es-AR" w:eastAsia="es-AR" w:bidi="es-AR"/>
        </w:rPr>
        <w:t xml:space="preserve"> (SCBA "Mader, Eugenio Norberto contra Cablevisión CV S.A. y otro. Resolución de contratos. Daños y perjuicios. Ejecución de garantía", Causa n° 118105, 04/03/2015).-</w:t>
      </w:r>
    </w:p>
    <w:p>
      <w:pPr>
        <w:pStyle w:val="[Normal]"/>
        <w:spacing w:line="360" w:lineRule="auto"/>
        <w:ind w:firstLine="1134"/>
        <w:jc w:val="both"/>
        <w:rPr>
          <w:lang w:val="es-AR" w:eastAsia="es-AR" w:bidi="es-AR"/>
        </w:rPr>
      </w:pPr>
      <w:r>
        <w:rPr>
          <w:lang w:val="es-AR" w:eastAsia="es-AR" w:bidi="es-AR"/>
        </w:rPr>
        <w:t xml:space="preserve">En segundo lugar, aún cuando se acreditara el pago posterior a la separación, la procedencia de una recompensa exige determinar con precisión el carácter de la deuda cancelada, la proporción que correspondía a cada cónyuge y si el pago importó un enriquecimiento correlativo de la comunidad o del otro cónyuge, extremos que requieren debate y prueba específica. Su reconocimiento oficioso en esta instancia importaría alterar la plataforma fáctica y jurídica sobre la que versó el litigio.-</w:t>
      </w:r>
    </w:p>
    <w:p>
      <w:pPr>
        <w:pStyle w:val="[Normal]"/>
        <w:spacing w:line="360" w:lineRule="auto"/>
        <w:ind w:firstLine="1134"/>
        <w:jc w:val="both"/>
        <w:rPr>
          <w:lang w:val="es-AR" w:eastAsia="es-AR" w:bidi="es-AR"/>
        </w:rPr>
      </w:pPr>
      <w:r>
        <w:rPr>
          <w:lang w:val="es-AR" w:eastAsia="es-AR" w:bidi="es-AR"/>
        </w:rPr>
        <w:t xml:space="preserve">El sistema de los arts. 488 y 495 del CCCN prevé que el balance de recompensas se efectúe sobre la base de los créditos efectivamente invocados y acreditados en el proceso. No corresponde incorporar de oficio nuevos conceptos en sede revisora, pues ello vulneraría el principio de congruencia y el derecho de defensa en juicio (art. 18 CN).-</w:t>
      </w:r>
    </w:p>
    <w:p>
      <w:pPr>
        <w:pStyle w:val="[Normal]"/>
        <w:spacing w:line="360" w:lineRule="auto"/>
        <w:ind w:firstLine="1134"/>
        <w:jc w:val="both"/>
        <w:rPr>
          <w:lang w:val="es-AR" w:eastAsia="es-AR" w:bidi="es-AR"/>
        </w:rPr>
      </w:pPr>
      <w:r>
        <w:rPr>
          <w:lang w:val="es-AR" w:eastAsia="es-AR" w:bidi="es-AR"/>
        </w:rPr>
        <w:t xml:space="preserve">En consecuencia, no se verifica una omisión susceptible de revisión, sino la ausencia de un planteo oportunamente deducido. Por ello, el agravio debe ser desestimado, sin perjuicio de que el actor, en su caso, haga valer el crédito que estime corresponderle por las vías procesales pertinentes si se encontrare habilitado para ello.</w:t>
      </w:r>
    </w:p>
    <w:p>
      <w:pPr>
        <w:pStyle w:val="[Normal]"/>
        <w:spacing w:line="360" w:lineRule="auto"/>
        <w:ind w:firstLine="1134"/>
        <w:jc w:val="both"/>
        <w:rPr>
          <w:lang w:val="es-AR" w:eastAsia="es-AR" w:bidi="es-AR"/>
        </w:rPr>
      </w:pPr>
      <w:r>
        <w:rPr>
          <w:lang w:val="es-AR" w:eastAsia="es-AR" w:bidi="es-AR"/>
        </w:rPr>
        <w:t xml:space="preserve">4. Resta entonces abordar el agravio de la parte actora relativo a la imposición de costas en el orden causado.-</w:t>
      </w:r>
    </w:p>
    <w:p>
      <w:pPr>
        <w:pStyle w:val="[Normal]"/>
        <w:spacing w:line="360" w:lineRule="auto"/>
        <w:ind w:firstLine="1134"/>
        <w:jc w:val="both"/>
        <w:rPr>
          <w:lang w:val="es-AR" w:eastAsia="es-AR" w:bidi="es-AR"/>
        </w:rPr>
      </w:pPr>
      <w:r>
        <w:rPr>
          <w:lang w:val="es-AR" w:eastAsia="es-AR" w:bidi="es-AR"/>
        </w:rPr>
        <w:t xml:space="preserve">Entiendo que, en el caso, la decisión de distribuir las costas por su orden no se presenta ajustada a las constancias objetivas del proceso. Si bien la sentencia no acogió íntegramente todos los planteos del actor en la extensión cuantitativa pretendida, lo cierto es que en los aspectos sustanciales del litigio -esto es, la existencia del derecho de recompensa por enajenación de bienes propios y su procedencia frente a la comunidad- la posición actoral fue receptada, mientras que la demandada resultó vencida en sus defensas principales.-</w:t>
      </w:r>
    </w:p>
    <w:p>
      <w:pPr>
        <w:pStyle w:val="[Normal]"/>
        <w:spacing w:line="360" w:lineRule="auto"/>
        <w:ind w:firstLine="1134"/>
        <w:jc w:val="both"/>
        <w:rPr>
          <w:lang w:val="es-AR" w:eastAsia="es-AR" w:bidi="es-AR"/>
        </w:rPr>
      </w:pPr>
      <w:r>
        <w:rPr>
          <w:lang w:val="es-AR" w:eastAsia="es-AR" w:bidi="es-AR"/>
        </w:rPr>
        <w:t xml:space="preserve">Debe ponderarse especialmente que la demandada negó en su contestación extremos fácticos que luego quedaron acreditados mediante prueba documental y escrituras públicas -en particular, la venta de bienes propios del actor durante la vigencia del matrimonio y el correlativo beneficio para la comunidad-, sosteniendo incluso la inexistencia de tales operaciones. Tales negativas obligaron a una actividad probatoria innecesaria respecto de hechos objetivos, instrumentados y fácilmente verificables, lo que evidencia una conducta procesal que no puede reputarse neutra a los fines de la imposición de costas y ajustada al estándar de buena fe que obliga a las partes colaborar con el esclarecimiento de los hechos objeto de la litis (art. 34 inc.4.d del CPCCBA).-</w:t>
      </w:r>
    </w:p>
    <w:p>
      <w:pPr>
        <w:pStyle w:val="[Normal]"/>
        <w:spacing w:line="360" w:lineRule="auto"/>
        <w:ind w:firstLine="1134"/>
        <w:jc w:val="both"/>
        <w:rPr>
          <w:lang w:val="es-AR" w:eastAsia="es-AR" w:bidi="es-AR"/>
        </w:rPr>
      </w:pPr>
      <w:r>
        <w:rPr>
          <w:lang w:val="es-AR" w:eastAsia="es-AR" w:bidi="es-AR"/>
        </w:rPr>
        <w:t xml:space="preserve">El principio objetivo de la derrota consagrado en el art. 68 del CPCC impone que las costas sean soportadas por quien resulta sustancialmente vencido. La excepción -imposición por su orden- requiere la existencia de vencimientos recíprocos de entidad o de circunstancias particulares que justifiquen apartarse de la regla. En el sub exámine, la controversia giró centralmente en torno a la procedencia misma de las recompensas; y en ese núcleo decisivo la demandada fue vencida, pues la sentencia reconoció el derecho invocado por el actor.-</w:t>
      </w:r>
    </w:p>
    <w:p>
      <w:pPr>
        <w:pStyle w:val="[Normal]"/>
        <w:spacing w:line="360" w:lineRule="auto"/>
        <w:ind w:firstLine="1134"/>
        <w:jc w:val="both"/>
        <w:rPr>
          <w:lang w:val="es-AR" w:eastAsia="es-AR" w:bidi="es-AR"/>
        </w:rPr>
      </w:pPr>
      <w:r>
        <w:rPr>
          <w:lang w:val="es-AR" w:eastAsia="es-AR" w:bidi="es-AR"/>
        </w:rPr>
        <w:t xml:space="preserve">Las discrepancias relativas a la cuantificación o modalidad de liquidación no desvirtúan que el éxito principal correspondió a la parte actora.</w:t>
      </w:r>
    </w:p>
    <w:p>
      <w:pPr>
        <w:pStyle w:val="[Normal]"/>
        <w:spacing w:line="360" w:lineRule="auto"/>
        <w:ind w:firstLine="1134"/>
        <w:jc w:val="both"/>
        <w:rPr>
          <w:lang w:val="es-AR" w:eastAsia="es-AR" w:bidi="es-AR"/>
        </w:rPr>
      </w:pPr>
      <w:r>
        <w:rPr>
          <w:lang w:val="es-AR" w:eastAsia="es-AR" w:bidi="es-AR"/>
        </w:rPr>
        <w:t xml:space="preserve">La jurisprudencia ha señalado reiteradamente que cuando una parte obtiene el reconocimiento sustancial de su pretensión, la circunstancia de que no prospere en la totalidad de los montos reclamados no impide considerarla vencedora a los fines de las costas. Al respecto, se ha dicho que:</w:t>
      </w:r>
      <w:r>
        <w:rPr>
          <w:i/>
          <w:lang w:val="es-AR" w:eastAsia="es-AR" w:bidi="es-AR"/>
        </w:rPr>
        <w:t xml:space="preserve"> "La imposición de costas se funda en el hecho objetivo del vencimiento, como medio para obtener que el derecho controvertido sea reconocido en su integridad; es decir, que la vencedora obtenga el cabal resarcimiento de los gastos que le ocasionó el litigio. Y es vencido aquél contra quien tiene efecto el reconocimiento judicial que emana de la sentencia; o sea, aquél contra quien prospera la postura fundamental de la contraparte"</w:t>
      </w:r>
      <w:r>
        <w:rPr>
          <w:lang w:val="es-AR" w:eastAsia="es-AR" w:bidi="es-AR"/>
        </w:rPr>
        <w:t xml:space="preserve"> (CC0203 LP 120343 RSI-219-16 I 01/09/2016 Juez LARUMBE (SD), Carátula: Rodriguez, Juan Manuel c/ Licursi, Lidia Iris s/ Cobro ejecutivo Magistrados Votantes: Larumbe-Soto, ribunal Origen: JC1200LP).-</w:t>
      </w:r>
    </w:p>
    <w:p>
      <w:pPr>
        <w:pStyle w:val="[Normal]"/>
        <w:spacing w:line="360" w:lineRule="auto"/>
        <w:ind w:firstLine="1134"/>
        <w:jc w:val="both"/>
        <w:rPr>
          <w:lang w:val="es-AR" w:eastAsia="es-AR" w:bidi="es-AR"/>
        </w:rPr>
      </w:pPr>
      <w:r>
        <w:rPr>
          <w:lang w:val="es-AR" w:eastAsia="es-AR" w:bidi="es-AR"/>
        </w:rPr>
        <w:t xml:space="preserve">4. Huelga mencionar que los argumentos desarrollados por la demandada al contestar el traslado de la apelación actoral, en relación con los puntos que han sido declarados procedentes, no alteran la suerte de lo propiciado ut supra.-</w:t>
      </w:r>
    </w:p>
    <w:p>
      <w:pPr>
        <w:pStyle w:val="[Normal]"/>
        <w:spacing w:line="360" w:lineRule="auto"/>
        <w:ind w:firstLine="1134"/>
        <w:jc w:val="both"/>
        <w:rPr>
          <w:lang w:val="es-AR" w:eastAsia="es-AR" w:bidi="es-AR"/>
        </w:rPr>
      </w:pPr>
      <w:r>
        <w:rPr>
          <w:lang w:val="es-AR" w:eastAsia="es-AR" w:bidi="es-AR"/>
        </w:rPr>
        <w:t xml:space="preserve">4.1. En lo atinente al agravio vinculado con la reducción del crédito por la venta de los inmuebles heredados (partidas 51142 y 5050), la demandada no logra justificar jurídicamente la disminución al 50% del monto efectivamente percibido por el actor. Se limita a reiterar consideraciones relativas a la </w:t>
      </w:r>
      <w:r>
        <w:rPr>
          <w:i/>
          <w:lang w:val="es-AR" w:eastAsia="es-AR" w:bidi="es-AR"/>
        </w:rPr>
        <w:t xml:space="preserve">“línea temporal”</w:t>
      </w:r>
      <w:r>
        <w:rPr>
          <w:lang w:val="es-AR" w:eastAsia="es-AR" w:bidi="es-AR"/>
        </w:rPr>
        <w:t xml:space="preserve"> y al supuesto destino de los fondos, pero omite hacerse cargo del argumento central: que el actor sólo era titular del 50% indiviso del bien y que, por tanto, la comunidad -en su caso- sólo pudo beneficiarse del total de lo efectivamente ingresado a su patrimonio, esto es U$S 24.600. La sentencia redujo nuevamente ese monto sin fundamento normativo, configurando una doble disminución que la demandada no logra explicar con apoyo en el art. 491 del CCCN ni en norma alguna del régimen de recompensas.-</w:t>
      </w:r>
    </w:p>
    <w:p>
      <w:pPr>
        <w:pStyle w:val="[Normal]"/>
        <w:spacing w:line="360" w:lineRule="auto"/>
        <w:ind w:firstLine="1134"/>
        <w:jc w:val="both"/>
        <w:rPr>
          <w:lang w:val="es-AR" w:eastAsia="es-AR" w:bidi="es-AR"/>
        </w:rPr>
      </w:pPr>
      <w:r>
        <w:rPr>
          <w:lang w:val="es-AR" w:eastAsia="es-AR" w:bidi="es-AR"/>
        </w:rPr>
        <w:t xml:space="preserve">4.2. En cuanto a la naturaleza jurídica de las recompensas, la contestación tampoco desvirtúa el agravio relativo a la infundada distinción entre deuda de valor y deuda dineraria según la moneda de la operación. La demandada centra su respuesta en aspectos formales y en la diferenciación entre dólares y pesos, pero no rebate el argumento estructural: que la recompensa, por su esencia, es una deuda de valor cuya cuantificación debe atender al provecho subsistente y no al nominal histórico. La moneda de origen no altera la naturaleza del crédito, y la contestación no aporta fundamentos que permitan sostener lo contrario.-</w:t>
      </w:r>
    </w:p>
    <w:p>
      <w:pPr>
        <w:pStyle w:val="[Normal]"/>
        <w:spacing w:line="360" w:lineRule="auto"/>
        <w:ind w:firstLine="1134"/>
        <w:jc w:val="both"/>
        <w:rPr>
          <w:lang w:val="es-AR" w:eastAsia="es-AR" w:bidi="es-AR"/>
        </w:rPr>
      </w:pPr>
      <w:r>
        <w:rPr>
          <w:lang w:val="es-AR" w:eastAsia="es-AR" w:bidi="es-AR"/>
        </w:rPr>
        <w:t xml:space="preserve">4.3. Respecto del planteo sobre costas, la demandada invoca genéricamente la existencia de vencimientos recíprocos. Sin embargo, no logra controvertir que fue vencida en la cuestión sustancial del proceso: la procedencia misma del derecho de recompensa. Además, soslaya que en su contestación inicial negó hechos instrumentales objetivos -como la enajenación de bienes propios y su incidencia en la comunidad- que luego resultaron acreditados, lo que evidencia que el actor no promovió una pretensión temeraria sino fundada. Como ya he sostenido, la mera reducción cuantitativa o las diferencias interpretativas no neutralizan el éxito principal del actor.-</w:t>
      </w:r>
    </w:p>
    <w:p>
      <w:pPr>
        <w:pStyle w:val="[Normal]"/>
        <w:spacing w:line="360" w:lineRule="auto"/>
        <w:ind w:firstLine="1134"/>
        <w:jc w:val="both"/>
        <w:rPr>
          <w:lang w:val="es-AR" w:eastAsia="es-AR" w:bidi="es-AR"/>
        </w:rPr>
      </w:pPr>
      <w:r>
        <w:rPr>
          <w:lang w:val="es-AR" w:eastAsia="es-AR" w:bidi="es-AR"/>
        </w:rPr>
        <w:t xml:space="preserve">4.4. En definitiva, la contestación de la demandada no contiene una crítica jurídica idónea que permita sostener la validez de los aspectos de la sentencia que han sido modificados. Se apoya en reiteraciones argumentales ya superadas, en apreciaciones fácticas que no desvirtúan los errores normativos señalados y en afirmaciones genéricas sobre vencimientos parciales que no se corresponden con el resultado sustancial del litigio.  Por ello, sus argumentos no resultan suficientes para impedir la procedencia de los agravios actorales acogidos en esta instancia.-</w:t>
      </w:r>
    </w:p>
    <w:p>
      <w:pPr>
        <w:pStyle w:val="[Normal]"/>
        <w:spacing w:line="360" w:lineRule="auto"/>
        <w:ind w:firstLine="1134"/>
        <w:jc w:val="both"/>
        <w:rPr>
          <w:lang w:val="es-AR" w:eastAsia="es-AR" w:bidi="es-AR"/>
        </w:rPr>
      </w:pPr>
      <w:r>
        <w:rPr>
          <w:lang w:val="es-AR" w:eastAsia="es-AR" w:bidi="es-AR"/>
        </w:rPr>
        <w:t xml:space="preserve">En consecuencia, corresponde hacer lugar al agravio y modificar la sentencia en este punto, imponiendo las costas de la instancia de grado a la parte demandada, en su carácter de sustancialmente vencida.-</w:t>
      </w:r>
    </w:p>
    <w:p>
      <w:pPr>
        <w:pStyle w:val="[Normal]"/>
        <w:spacing w:line="360" w:lineRule="auto"/>
        <w:ind w:firstLine="1134"/>
        <w:jc w:val="both"/>
        <w:rPr>
          <w:lang w:val="es-AR" w:eastAsia="es-AR" w:bidi="es-AR"/>
        </w:rPr>
      </w:pPr>
      <w:r>
        <w:rPr>
          <w:lang w:val="es-AR" w:eastAsia="es-AR" w:bidi="es-AR"/>
        </w:rPr>
        <w:t xml:space="preserve">5.1. Transitando al agravio articulado por la parte demandada en cuanto cuestiona el reconocimiento del derecho de recompensa a favor del actor por la enajenación de bienes propios recibidos por donación y herencia, he de anticipar que la queja no puede prosperar.-</w:t>
      </w:r>
    </w:p>
    <w:p>
      <w:pPr>
        <w:pStyle w:val="[Normal]"/>
        <w:spacing w:line="360" w:lineRule="auto"/>
        <w:ind w:firstLine="1134"/>
        <w:jc w:val="both"/>
        <w:rPr>
          <w:lang w:val="es-AR" w:eastAsia="es-AR" w:bidi="es-AR"/>
        </w:rPr>
      </w:pPr>
      <w:r>
        <w:rPr>
          <w:lang w:val="es-AR" w:eastAsia="es-AR" w:bidi="es-AR"/>
        </w:rPr>
        <w:t xml:space="preserve">En primer lugar, la crítica basada en la denominada </w:t>
      </w:r>
      <w:r>
        <w:rPr>
          <w:i/>
          <w:lang w:val="es-AR" w:eastAsia="es-AR" w:bidi="es-AR"/>
        </w:rPr>
        <w:t xml:space="preserve">“línea temporal”</w:t>
      </w:r>
      <w:r>
        <w:rPr>
          <w:lang w:val="es-AR" w:eastAsia="es-AR" w:bidi="es-AR"/>
        </w:rPr>
        <w:t xml:space="preserve"> no logra desvirtuar la presunción establecida en el art. 491, segundo párrafo, del Código Civil y Comercial. La norma dispone que si durante la comunidad uno de los cónyuges ha enajenado bienes propios a título oneroso sin reinvertir su precio, se presume -salvo prueba en contrario- que lo percibido ha beneficiado a la comunidad. Se trata de una presunción legal que releva al cónyuge titular del bien propio de acreditar el destino específico de los fondos, trasladando a quien se opone la carga de demostrar que no existió tal beneficio.-</w:t>
      </w:r>
    </w:p>
    <w:p>
      <w:pPr>
        <w:pStyle w:val="[Normal]"/>
        <w:spacing w:line="360" w:lineRule="auto"/>
        <w:ind w:firstLine="1134"/>
        <w:jc w:val="both"/>
        <w:rPr>
          <w:lang w:val="es-AR" w:eastAsia="es-AR" w:bidi="es-AR"/>
        </w:rPr>
      </w:pPr>
      <w:r>
        <w:rPr>
          <w:lang w:val="es-AR" w:eastAsia="es-AR" w:bidi="es-AR"/>
        </w:rPr>
        <w:t xml:space="preserve">En el caso, se encuentra acreditado mediante instrumentos públicos que el actor vendió bienes propios en los años 2008 y 2018, durante la vigencia de la comunidad. No se ha probado que el producido hubiera sido reinvertido en bienes propios, ni que se hubiese sustraído del ámbito económico común. La demandada no produjo prueba idónea que desvirtúe la presunción legal, limitándose a sostener -en términos conjeturales- que los fondos pudieron destinarse a gastos ordinarios de manutención o cargas familiares.-</w:t>
      </w:r>
    </w:p>
    <w:p>
      <w:pPr>
        <w:pStyle w:val="[Normal]"/>
        <w:spacing w:line="360" w:lineRule="auto"/>
        <w:ind w:firstLine="1134"/>
        <w:jc w:val="both"/>
        <w:rPr>
          <w:lang w:val="es-AR" w:eastAsia="es-AR" w:bidi="es-AR"/>
        </w:rPr>
      </w:pPr>
      <w:r>
        <w:rPr>
          <w:lang w:val="es-AR" w:eastAsia="es-AR" w:bidi="es-AR"/>
        </w:rPr>
        <w:t xml:space="preserve">Tal argumento no resulta atendible. Precisamente, si el dinero proveniente de bienes propios se aplicó a gastos ordinarios de la familia o a cargas de la comunidad, ello confirma el beneficio comunitario y activa el mecanismo de recompensa. El art. 489 del CCCN regula las cargas que deben ser soportadas por la comunidad, pero no excluye el derecho de recompensa cuando tales cargas fueron afrontadas con bienes propios de uno de los cónyuges. Antes bien, el sistema de recompensas procura evitar que la masa ganancial se enriquezca a expensas del patrimonio propio.-</w:t>
      </w:r>
    </w:p>
    <w:p>
      <w:pPr>
        <w:pStyle w:val="[Normal]"/>
        <w:spacing w:line="360" w:lineRule="auto"/>
        <w:ind w:firstLine="1134"/>
        <w:jc w:val="both"/>
        <w:rPr>
          <w:lang w:val="es-AR" w:eastAsia="es-AR" w:bidi="es-AR"/>
        </w:rPr>
      </w:pPr>
      <w:r>
        <w:rPr>
          <w:lang w:val="es-AR" w:eastAsia="es-AR" w:bidi="es-AR"/>
        </w:rPr>
        <w:t xml:space="preserve">En cuanto al señalamiento de que la vivienda ya estaba construida al momento de la venta de los bienes heredados en 2018, tampoco ello neutraliza la presunción legal. El beneficio comunitario no se agota en la adquisición o construcción de un inmueble determinado; puede manifestarse en mejoras, ampliaciones, cancelación de deudas, adquisición de otros bienes gananciales o en el sostenimiento general del grupo familiar. La demandada no acreditó que el producido hubiese sido destinado a fines exclusivamente personales del actor o ajenos a la comunidad.-</w:t>
      </w:r>
    </w:p>
    <w:p>
      <w:pPr>
        <w:pStyle w:val="[Normal]"/>
        <w:spacing w:line="360" w:lineRule="auto"/>
        <w:ind w:firstLine="1134"/>
        <w:jc w:val="both"/>
        <w:rPr>
          <w:lang w:val="es-AR" w:eastAsia="es-AR" w:bidi="es-AR"/>
        </w:rPr>
      </w:pPr>
      <w:r>
        <w:rPr>
          <w:lang w:val="es-AR" w:eastAsia="es-AR" w:bidi="es-AR"/>
        </w:rPr>
        <w:t xml:space="preserve">Finalmente, no se advierte que el sentenciante haya aplicado en forma </w:t>
      </w:r>
      <w:r>
        <w:rPr>
          <w:i/>
          <w:lang w:val="es-AR" w:eastAsia="es-AR" w:bidi="es-AR"/>
        </w:rPr>
        <w:t xml:space="preserve">“automática”</w:t>
      </w:r>
      <w:r>
        <w:rPr>
          <w:lang w:val="es-AR" w:eastAsia="es-AR" w:bidi="es-AR"/>
        </w:rPr>
        <w:t xml:space="preserve"> la presunción legal. Por el contrario, valoró la prueba documental e instrumental agregada, constató la venta de bienes propios sin reinversión acreditada y, ante la ausencia de prueba en contrario, aplicó la regla expresa del art. 491 del CCCN. Exigir al actor una prueba directa del destino puntual de cada suma implicaría desconocer el diseño normativo del instituto y vaciar de contenido la presunción legal.-</w:t>
      </w:r>
    </w:p>
    <w:p>
      <w:pPr>
        <w:pStyle w:val="[Normal]"/>
        <w:spacing w:line="360" w:lineRule="auto"/>
        <w:ind w:firstLine="1134"/>
        <w:jc w:val="both"/>
        <w:rPr>
          <w:lang w:val="es-AR" w:eastAsia="es-AR" w:bidi="es-AR"/>
        </w:rPr>
      </w:pPr>
      <w:r>
        <w:rPr>
          <w:lang w:val="es-AR" w:eastAsia="es-AR" w:bidi="es-AR"/>
        </w:rPr>
        <w:t xml:space="preserve">En consecuencia, no habiéndose desvirtuado el presupuesto fáctico ni la norma aplicada, corresponde rechazar el agravio y confirmar el reconocimiento del derecho de recompensa a favor del actor por la enajenación de los bienes propios referidos.-</w:t>
      </w:r>
    </w:p>
    <w:p>
      <w:pPr>
        <w:pStyle w:val="[Normal]"/>
        <w:spacing w:line="360" w:lineRule="auto"/>
        <w:ind w:firstLine="1134"/>
        <w:jc w:val="both"/>
        <w:rPr>
          <w:lang w:val="es-AR" w:eastAsia="es-AR" w:bidi="es-AR"/>
        </w:rPr>
      </w:pPr>
      <w:r>
        <w:rPr>
          <w:lang w:val="es-AR" w:eastAsia="es-AR" w:bidi="es-AR"/>
        </w:rPr>
        <w:t xml:space="preserve">5.2. En cuanto al agravio de la demandada referido a la supuesta errónea valoración de la prueba producida en autos, entiendo que tampoco puede prosperar.-</w:t>
      </w:r>
    </w:p>
    <w:p>
      <w:pPr>
        <w:pStyle w:val="[Normal]"/>
        <w:spacing w:line="360" w:lineRule="auto"/>
        <w:ind w:firstLine="1134"/>
        <w:jc w:val="both"/>
        <w:rPr>
          <w:lang w:val="es-AR" w:eastAsia="es-AR" w:bidi="es-AR"/>
        </w:rPr>
      </w:pPr>
      <w:r>
        <w:rPr>
          <w:lang w:val="es-AR" w:eastAsia="es-AR" w:bidi="es-AR"/>
        </w:rPr>
        <w:t xml:space="preserve">En primer término, debe recordarse que la apreciación de la prueba constituye una facultad privativa del juzgador de grado, quien goza de amplitud para seleccionar y ponderar aquellos elementos que estime conducentes para la resolución del litigio, conforme las reglas de la sana crítica (art. 384 del CPCC). La mera disconformidad de la parte con la valoración efectuada no configura, por sí sola, un error revisable en alzada si no se demuestra arbitrariedad, absurdo o apartamiento manifiesto de las constancias de la causa.-</w:t>
      </w:r>
    </w:p>
    <w:p>
      <w:pPr>
        <w:pStyle w:val="[Normal]"/>
        <w:spacing w:line="360" w:lineRule="auto"/>
        <w:ind w:firstLine="1134"/>
        <w:jc w:val="both"/>
        <w:rPr>
          <w:lang w:val="es-AR" w:eastAsia="es-AR" w:bidi="es-AR"/>
        </w:rPr>
      </w:pPr>
      <w:r>
        <w:rPr>
          <w:lang w:val="es-AR" w:eastAsia="es-AR" w:bidi="es-AR"/>
        </w:rPr>
        <w:t xml:space="preserve">En este sentido, la sana crítica racional es el método de valoración e interpretación de la prueba judicial que se resume en la convergencia conjunta de las reglas de la lógica, las reglas de la psicología social y las máximas de experiencia. Se trata de un género amplio que subsume estas tres especies de reglas. La funcionalidad más trascendente de las reglas de la sana crítica (o de las máximas de experiencia, según se prefiere), se alcanza en el área de la interpretación y valoración de la prueba judicialmente producida; llegando a su ápice cuando media un conflicto entre elementos probatorios que reclama una apreciación conjunta de la prueba (</w:t>
      </w:r>
      <w:r>
        <w:rPr>
          <w:i/>
          <w:lang w:val="es-AR" w:eastAsia="es-AR" w:bidi="es-AR"/>
        </w:rPr>
        <w:t xml:space="preserve">Cf.  CARNELLI, Lorenzo, “Las máximas de experiencia en el proceso de orden dispositivo”</w:t>
      </w:r>
      <w:r>
        <w:rPr>
          <w:lang w:val="es-AR" w:eastAsia="es-AR" w:bidi="es-AR"/>
        </w:rPr>
        <w:t xml:space="preserve">, en Estudios de Derecho Procesal en honor de Hugo Alsina, Bs.As.1946, Ediar, pag. 126).-</w:t>
      </w:r>
    </w:p>
    <w:p>
      <w:pPr>
        <w:pStyle w:val="[Normal]"/>
        <w:spacing w:line="360" w:lineRule="auto"/>
        <w:ind w:firstLine="1134"/>
        <w:jc w:val="both"/>
        <w:rPr>
          <w:lang w:val="es-AR" w:eastAsia="es-AR" w:bidi="es-AR"/>
        </w:rPr>
      </w:pPr>
      <w:r>
        <w:rPr>
          <w:lang w:val="es-AR" w:eastAsia="es-AR" w:bidi="es-AR"/>
        </w:rPr>
        <w:t xml:space="preserve">En virtud de lo expuesto, no le basta al recurrente la mera demostración de una valoración diferente por parte del a quo en relación al mérito de cada una de las probanzas producidas, sino que debe acreditar que la ponderación diferencial que denuncia resulta arbitraria o absurda en el caso concreto.- </w:t>
      </w:r>
    </w:p>
    <w:p>
      <w:pPr>
        <w:pStyle w:val="[Normal]"/>
        <w:spacing w:line="360" w:lineRule="auto"/>
        <w:ind w:firstLine="1134"/>
        <w:jc w:val="both"/>
        <w:rPr>
          <w:color w:val="000000"/>
          <w:lang w:val="es-AR" w:eastAsia="es-AR" w:bidi="es-AR"/>
        </w:rPr>
      </w:pPr>
      <w:r>
        <w:rPr>
          <w:lang w:val="es-AR" w:eastAsia="es-AR" w:bidi="es-AR"/>
        </w:rPr>
        <w:t xml:space="preserve">Al respecto, la Corte Provincial se ha ocupado de precisar el estándar de crítica esperable para rebatir la valoración judicial de la prueba, postulando la necesidad de que </w:t>
      </w:r>
      <w:r>
        <w:rPr>
          <w:i/>
          <w:lang w:val="es-AR" w:eastAsia="es-AR" w:bidi="es-AR"/>
        </w:rPr>
        <w:t xml:space="preserve">"...</w:t>
      </w:r>
      <w:r>
        <w:rPr>
          <w:i/>
          <w:color w:val="000000"/>
          <w:lang w:val="es-AR" w:eastAsia="es-AR" w:bidi="es-AR"/>
        </w:rPr>
        <w:t xml:space="preserve">tales apreciaciones aparezcan fuera de los límites de lo opinable. De modo tal que no logra evidenciarse que el pronunciamiento en crisis contenga un análisis que adolezca de graves desaciertos u omisiones que autoricen a descalificarlo como acto jurisdiccional válido, ni que lo concluido contradiga de manera palmaria las reglas de la lógica o la experiencia" </w:t>
      </w:r>
      <w:r>
        <w:rPr>
          <w:color w:val="000000"/>
          <w:lang w:val="es-AR" w:eastAsia="es-AR" w:bidi="es-AR"/>
        </w:rPr>
        <w:t xml:space="preserve">(SCBA,</w:t>
      </w:r>
      <w:r>
        <w:rPr>
          <w:i/>
          <w:color w:val="000000"/>
          <w:lang w:val="es-AR" w:eastAsia="es-AR" w:bidi="es-AR"/>
        </w:rPr>
        <w:t xml:space="preserve"> "IRIBARNE, ALICIA ADRIANA -PART. DAM.- S/ RECURSO EXTRAORDINARIO DE INAPLICABILIDAD DE LEY", </w:t>
      </w:r>
      <w:r>
        <w:rPr>
          <w:color w:val="000000"/>
          <w:lang w:val="es-AR" w:eastAsia="es-AR" w:bidi="es-AR"/>
        </w:rPr>
        <w:t xml:space="preserve">3/10/2018").-</w:t>
      </w:r>
    </w:p>
    <w:p>
      <w:pPr>
        <w:pStyle w:val="[Normal]"/>
        <w:spacing w:line="360" w:lineRule="auto"/>
        <w:ind w:firstLine="1134"/>
        <w:jc w:val="both"/>
        <w:rPr>
          <w:lang w:val="es-AR" w:eastAsia="es-AR" w:bidi="es-AR"/>
        </w:rPr>
      </w:pPr>
      <w:r>
        <w:rPr>
          <w:lang w:val="es-AR" w:eastAsia="es-AR" w:bidi="es-AR"/>
        </w:rPr>
        <w:t xml:space="preserve">En el caso, la sentencia no omitió considerar la prueba informativa relativa a los créditos hipotecarios y municipales destinados a la construcción del inmueble. Por el contrario, los tuvo expresamente por acreditados, pero concluyó -con fundamento razonado- que la existencia de tales préstamos no excluía la aplicación del art. 491 del CCCN ni desvirtuaba la presunción de beneficio comunitario derivada de la enajenación de bienes propios sin reinversión acreditada. Es que la circunstancia de que el bien haya sido parcialmente financiado mediante crédito no impide que otros aportes -provenientes del patrimonio propio del actor- hayan contribuido al sostenimiento o mejoramiento de la comunidad.-</w:t>
      </w:r>
    </w:p>
    <w:p>
      <w:pPr>
        <w:pStyle w:val="[Normal]"/>
        <w:spacing w:line="360" w:lineRule="auto"/>
        <w:ind w:firstLine="1134"/>
        <w:jc w:val="both"/>
        <w:rPr>
          <w:lang w:val="es-AR" w:eastAsia="es-AR" w:bidi="es-AR"/>
        </w:rPr>
      </w:pPr>
      <w:r>
        <w:rPr>
          <w:lang w:val="es-AR" w:eastAsia="es-AR" w:bidi="es-AR"/>
        </w:rPr>
        <w:t xml:space="preserve">Tampoco prospera el cuestionamiento relativo a la prueba testimonial. La demandada pretende que se otorgue mayor entidad convictiva a los dichos de sus testigos, quienes se refirieron en términos generales a la forma en que se fue construyendo la vivienda y al trabajo de ambos cónyuges. Sin embargo, tales declaraciones no acreditan de modo concreto el destino exclusivo de los fondos provenientes de la venta de bienes propios ni desvirtúan la presunción legal aplicable. En este punto, la valoración efectuada por el a quo no implicó otorgar prevalencia automática a la declaración de la hermana del actor, sino ponderar el conjunto probatorio en su integridad, privilegiando la prueba documental e instrumental -escrituras públicas y constancias bancarias- por sobre manifestaciones genéricas o conjeturales.-</w:t>
      </w:r>
    </w:p>
    <w:p>
      <w:pPr>
        <w:pStyle w:val="[Normal]"/>
        <w:spacing w:line="360" w:lineRule="auto"/>
        <w:ind w:firstLine="1134"/>
        <w:jc w:val="both"/>
        <w:rPr>
          <w:lang w:val="es-AR" w:eastAsia="es-AR" w:bidi="es-AR"/>
        </w:rPr>
      </w:pPr>
      <w:r>
        <w:rPr>
          <w:lang w:val="es-AR" w:eastAsia="es-AR" w:bidi="es-AR"/>
        </w:rPr>
        <w:t xml:space="preserve">La crítica, en definitiva, no demuestra que el sentenciante haya incurrido en absurdo ni que haya omitido prueba decisiva. Se limita a proponer una lectura alternativa de los elementos incorporados al proceso, lo cual resulta insuficiente para habilitar la revisión.-</w:t>
      </w:r>
    </w:p>
    <w:p>
      <w:pPr>
        <w:pStyle w:val="[Normal]"/>
        <w:spacing w:line="360" w:lineRule="auto"/>
        <w:ind w:firstLine="1134"/>
        <w:jc w:val="both"/>
        <w:rPr>
          <w:lang w:val="es-AR" w:eastAsia="es-AR" w:bidi="es-AR"/>
        </w:rPr>
      </w:pPr>
      <w:r>
        <w:rPr>
          <w:lang w:val="es-AR" w:eastAsia="es-AR" w:bidi="es-AR"/>
        </w:rPr>
        <w:t xml:space="preserve">En consecuencia, corresponde rechazar el agravio y confirmar la valoración probatoria efectuada en la instancia de grado.-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Hacer lugar parcialmente al recurso de apelación interpuesto por la parte actora. En consecuencia, corresponde: a) revocar el monto fijado en concepto de recompensa por la venta de los inmuebles identificados con partidas inmobiliarias N° 51142 y 5050, estableciendo que la base de cálculo deberá ser la suma de dólares estadounidenses veinticuatro mil seiscientos (xxx), sin perjuicio de su determinación definitiva conforme las pautas del art. 493 del CCCN en la etapa de liquidación; b) dejar sin efecto la distinción efectuada respecto de la naturaleza jurídica de las recompensas derivadas de las escrituras n° 36 y n° 231, estableciendo que ambas constituyen deudas de valor, debiendo cuantificarse conforme dicho régimen en la etapa liquidatoria; c) readecuar la imposición de costas de la instancia de grado, las que deberán cargarse en su totalidad sobre la parte demandada en su carácter de vencida en los aspectos sustanciales del pleito (art. 68/69 del CPCCBA).- </w:t>
      </w:r>
    </w:p>
    <w:p>
      <w:pPr>
        <w:pStyle w:val="[Normal]"/>
        <w:spacing w:line="360" w:lineRule="auto"/>
        <w:ind w:firstLine="1134"/>
        <w:jc w:val="both"/>
        <w:rPr>
          <w:lang w:val="es-AR" w:eastAsia="es-AR" w:bidi="es-AR"/>
        </w:rPr>
      </w:pPr>
      <w:r>
        <w:rPr>
          <w:lang w:val="es-AR" w:eastAsia="es-AR" w:bidi="es-AR"/>
        </w:rPr>
        <w:t xml:space="preserve">3) Imponer las costas de Alzada a la parte demandada vencida (art. 68/69 del CPCCBA).-</w:t>
      </w:r>
    </w:p>
    <w:p>
      <w:pPr>
        <w:pStyle w:val="[Normal]"/>
        <w:spacing w:line="360" w:lineRule="auto"/>
        <w:ind w:firstLine="1134"/>
        <w:jc w:val="both"/>
        <w:rPr>
          <w:lang w:val="es-AR" w:eastAsia="es-AR" w:bidi="es-AR"/>
        </w:rPr>
      </w:pPr>
      <w:r>
        <w:rPr>
          <w:lang w:val="es-AR" w:eastAsia="es-AR" w:bidi="es-AR"/>
        </w:rPr>
        <w:t xml:space="preserve">4) Diferir la regulación de honorarios para su oportunidad respectiva (art. 31 de la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Hacer lugar parcialmente al recurso de apelación interpuesto por la parte actora. En consecuencia, corresponde: a) revocar el monto fijado en concepto de recompensa por la venta de los inmuebles identificados con partidas inmobiliarias N° 51142 y 5050, estableciendo que la base de cálculo deberá ser la suma de dólares estadounidenses veinticuatro mil seiscientos (xxx), sin perjuicio de su determinación definitiva conforme las pautas del art. 493 del CCCN en la etapa de liquidación; b) dejar sin efecto la distinción efectuada respecto de la naturaleza jurídica de las recompensas derivadas de las escrituras n° 36 y n° 231, estableciendo que ambas constituyen deudas de valor, debiendo cuantificarse conforme a dicho régimen en la etapa liquidatoria; c) readecuar la imposición de costas de la instancia de grado, las que deberán cargarse en su totalidad sobre la parte demandada en su carácter de vencida en los aspectos sustanciales del pleito (art. 68/69 dle CPCCBA).-</w:t>
      </w:r>
    </w:p>
    <w:p>
      <w:pPr>
        <w:pStyle w:val="[Normal]"/>
        <w:spacing w:line="360" w:lineRule="auto"/>
        <w:ind w:firstLine="1134"/>
        <w:jc w:val="both"/>
        <w:rPr>
          <w:lang w:val="es-AR" w:eastAsia="es-AR" w:bidi="es-AR"/>
        </w:rPr>
      </w:pPr>
      <w:r>
        <w:rPr>
          <w:lang w:val="es-AR" w:eastAsia="es-AR" w:bidi="es-AR"/>
        </w:rPr>
        <w:t xml:space="preserve">3) Imponer las costas de Alzada a la parte demandada vencida (art. 68/69 del CPCCBA).-</w:t>
      </w:r>
    </w:p>
    <w:p>
      <w:pPr>
        <w:pStyle w:val="[Normal]"/>
        <w:spacing w:line="360" w:lineRule="auto"/>
        <w:ind w:firstLine="1134"/>
        <w:jc w:val="both"/>
        <w:rPr>
          <w:lang w:val="es-AR" w:eastAsia="es-AR" w:bidi="es-AR"/>
        </w:rPr>
      </w:pPr>
      <w:r>
        <w:rPr>
          <w:lang w:val="es-AR" w:eastAsia="es-AR" w:bidi="es-AR"/>
        </w:rPr>
        <w:t xml:space="preserve">4) Diferir la regulación de honorarios para su oportunidad respectiva (art. 31 de la 14.967).-</w:t>
      </w:r>
    </w:p>
    <w:p>
      <w:pPr>
        <w:pStyle w:val="[Normal]"/>
        <w:spacing w:line="360" w:lineRule="auto"/>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