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5753-25</w:t>
      </w:r>
      <w:r>
        <w:rPr>
          <w:lang w:val="es-AR" w:eastAsia="es-AR" w:bidi="es-AR"/>
        </w:rPr>
        <w:t xml:space="preserve"> caratulada </w:t>
      </w:r>
      <w:r>
        <w:rPr>
          <w:b/>
          <w:lang w:val="es-AR" w:eastAsia="es-AR" w:bidi="es-AR"/>
        </w:rPr>
        <w:t xml:space="preserve">"</w:t>
      </w:r>
      <w:r>
        <w:rPr>
          <w:b/>
          <w:color w:val="000000"/>
          <w:lang w:val="es-AR" w:eastAsia="es-AR" w:bidi="es-AR"/>
        </w:rPr>
        <w:t xml:space="preserve">FERREYRA MARTA ALICIA C/ CARRASQUERA DANIEL OSVALDO Y OTROS S/ DAÑOS Y PERJ. AUTOM. C/LES. O MUERTE (EXC. ESTADO)</w:t>
      </w:r>
      <w:r>
        <w:rPr>
          <w:b/>
          <w:lang w:val="es-AR" w:eastAsia="es-AR" w:bidi="es-AR"/>
        </w:rPr>
        <w:t xml:space="preserve">"</w:t>
      </w:r>
      <w:r>
        <w:rPr>
          <w:lang w:val="es-AR" w:eastAsia="es-AR" w:bidi="es-AR"/>
        </w:rPr>
        <w:t xml:space="preserve">, Expte. N° 67.187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haciendo lugar a la demanda instaurada, condenando en consecuencia a Daniel Osvaldo Carrasquera y a Sancor Cooperativa de Seguros Ltda., a abonar a la actora dentro de los diez días de notificada la presente, la suma de veintiséis millones trescientos tres mil  ciento setenta y siete pesos con 60/100 ($ 26.303.177,60) con más sus intereses. Haciendo lugar a la excepción de falta de legitimación pasiva opuesta por la codemandada Fourth Crescent S.A.. Aplicando las costas a la demandada que resulta vencida y a su aseguradora. Difiriendo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En fecha 3/7/2025 interpuso recurso de apelación la parte actora y el día 27/6/2025 la citada en garantía, expresando sus agravios el primero mediante la presentación de fecha 14/8/2025 y la segunda en fecha 25/8/2025.</w:t>
      </w:r>
    </w:p>
    <w:p>
      <w:pPr>
        <w:pStyle w:val="[Normal]"/>
        <w:spacing w:line="360" w:lineRule="auto"/>
        <w:ind w:firstLine="1134"/>
        <w:jc w:val="both"/>
        <w:rPr>
          <w:lang w:val="es-AR" w:eastAsia="es-AR" w:bidi="es-AR"/>
        </w:rPr>
      </w:pPr>
      <w:r>
        <w:rPr>
          <w:lang w:val="es-AR" w:eastAsia="es-AR" w:bidi="es-AR"/>
        </w:rPr>
        <w:t xml:space="preserve">Conferidos los traslados pertinentes, fueron evacuados por la accionante el día 23/9/2025 y la aseguradora en fecha 22/9/2025, quedando incontestado el que se confiriera a la parte demandada, a quien se dio por perdido el derecho dejado de usar.</w:t>
      </w:r>
    </w:p>
    <w:p>
      <w:pPr>
        <w:pStyle w:val="[Normal]"/>
        <w:spacing w:line="360" w:lineRule="auto"/>
        <w:ind w:firstLine="1134"/>
        <w:jc w:val="both"/>
        <w:rPr>
          <w:lang w:val="es-AR" w:eastAsia="es-AR" w:bidi="es-AR"/>
        </w:rPr>
      </w:pPr>
      <w:r>
        <w:rPr>
          <w:lang w:val="es-AR" w:eastAsia="es-AR" w:bidi="es-AR"/>
        </w:rPr>
        <w:t xml:space="preserve">La accionante se duele en general acerca de los importes indemnizatorios, como así también los parámetros tomados por el a quo.</w:t>
      </w:r>
    </w:p>
    <w:p>
      <w:pPr>
        <w:pStyle w:val="[Normal]"/>
        <w:spacing w:line="360" w:lineRule="auto"/>
        <w:ind w:firstLine="1134"/>
        <w:jc w:val="both"/>
        <w:rPr>
          <w:lang w:val="es-AR" w:eastAsia="es-AR" w:bidi="es-AR"/>
        </w:rPr>
      </w:pPr>
      <w:r>
        <w:rPr>
          <w:lang w:val="es-AR" w:eastAsia="es-AR" w:bidi="es-AR"/>
        </w:rPr>
        <w:t xml:space="preserve">Así en cuanto a la indemnización por incapacidad su queja se centra tanto respecto al porcentual de incapacidad que toma en consideración, que su parte pretende sea en un 100%  como así también respecto a la expectativa de vida utilizada para el cálculo, que según su opinión debe ser mayor-</w:t>
      </w:r>
    </w:p>
    <w:p>
      <w:pPr>
        <w:pStyle w:val="[Normal]"/>
        <w:spacing w:line="360" w:lineRule="auto"/>
        <w:ind w:firstLine="1134"/>
        <w:jc w:val="both"/>
        <w:rPr>
          <w:lang w:val="es-AR" w:eastAsia="es-AR" w:bidi="es-AR"/>
        </w:rPr>
      </w:pPr>
      <w:r>
        <w:rPr>
          <w:lang w:val="es-AR" w:eastAsia="es-AR" w:bidi="es-AR"/>
        </w:rPr>
        <w:t xml:space="preserve">En segundo término se agravia del importe otorgado en concepto de daño moral  el cual, según entiende,  otorga una suma notoriamente exigua la cual resulta absolutamente insuficiente y carente de proporcionalidad con la magnitud del padecimiento sufrido por la actora, cuyas consecuencias fueron devastadoras para su vida y se encuentran acreditadas en autos.-</w:t>
      </w:r>
    </w:p>
    <w:p>
      <w:pPr>
        <w:pStyle w:val="[Normal]"/>
        <w:spacing w:line="360" w:lineRule="auto"/>
        <w:ind w:firstLine="1134"/>
        <w:jc w:val="both"/>
        <w:rPr>
          <w:lang w:val="es-AR" w:eastAsia="es-AR" w:bidi="es-AR"/>
        </w:rPr>
      </w:pPr>
      <w:r>
        <w:rPr>
          <w:lang w:val="es-AR" w:eastAsia="es-AR" w:bidi="es-AR"/>
        </w:rPr>
        <w:t xml:space="preserve">Sostiene que el informe pericial médico y psicológico han sido concluyentes respecto de la incapacidad y consecuencias ocasionadas con motivo de las lesiones sufridas. A la fecha del accidente la actora, no obstante su edad, era una persona vital e independiente, condiciones estas que perdió.-</w:t>
      </w:r>
    </w:p>
    <w:p>
      <w:pPr>
        <w:pStyle w:val="[Normal]"/>
        <w:spacing w:line="360" w:lineRule="auto"/>
        <w:ind w:firstLine="1134"/>
        <w:jc w:val="both"/>
        <w:rPr>
          <w:lang w:val="es-AR" w:eastAsia="es-AR" w:bidi="es-AR"/>
        </w:rPr>
      </w:pPr>
      <w:r>
        <w:rPr>
          <w:lang w:val="es-AR" w:eastAsia="es-AR" w:bidi="es-AR"/>
        </w:rPr>
        <w:t xml:space="preserve">Hacer reserva de cuestión federal y solicita  se revoque el fallo recurrido en los puntos cuestionados, con expresa imposición de las costas a la contraria.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 su turno, presenta su memorial el apoderado de la citada en garantía y en primer lugar plantea su queja acerca de la </w:t>
      </w:r>
      <w:r>
        <w:rPr>
          <w:lang w:val="es-AR" w:eastAsia="es-AR" w:bidi="es-AR"/>
        </w:rPr>
        <w:t xml:space="preserve">no valoración de la intervención de la víctima en el hecho y su contribución decisiva en el resultado, en tanto y conforme lo sostuviera desde un primer momento, Ferreyra cruzó una avenida de doble mano en momentos de intensa circulación en ambos sentidos de la misma. Alli, se indica:  " Sr. Agente Fiscal: Informo a Ud, que oportunamente recibí el material fílmico aportado por el sistema de seguridad municipal y obvié involuntariamente confeccionar el informe al respecto, es por ello que en el dia de la fecha le hago saber que de las filmaciones se aprecia -atento la disposición de las cámaras-, que varios automóviles circulan por Avda. Pte.Peron, en sentido sur-norte y viceversa cuando de repente un cuerpo cae sobre la cinta asfáltica y una camioneta del tipo Trafic se detiene a su lado, no lográndose ver el momento del impacto debido al ángulo de toma del dispositivo que registra esa secuencia desde atrás de los partícipes. Es todo cuanto debo informar." Pergamino, a los 13 días del mes de diciembre de año 2022."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Sostiene que nunca se ve el embestimiento, pero si se ve que no era un lugar ni un momento adecuado para el cruce, lo cual torna aplicable la eximente del art. 1729 del Codigo Civil al menos de forma parcial, ya que en definitiva, si Ferreyra hubiese cruzado por un lugar habilitado y en circunstancias menos riesgosas, el siniestro nunca se hubiera producido.</w:t>
      </w:r>
    </w:p>
    <w:p>
      <w:pPr>
        <w:pStyle w:val="[Normal]"/>
        <w:spacing w:line="360" w:lineRule="auto"/>
        <w:ind w:firstLine="1134"/>
        <w:jc w:val="both"/>
        <w:rPr>
          <w:lang w:val="es-AR" w:eastAsia="es-AR" w:bidi="es-AR"/>
        </w:rPr>
      </w:pPr>
      <w:r>
        <w:rPr>
          <w:lang w:val="es-AR" w:eastAsia="es-AR" w:bidi="es-AR"/>
        </w:rPr>
        <w:t xml:space="preserve">En segundo término señala que agravia a su parte el hecho de que el sentenciante, luego de descalificar en forma total la pericia médica impugnada, se remita al baremo para terminar otorgando la misma incapacidad que informara el perito médico, y que en virtud de ello entiende no hay pericia, en tanto el mismo juzgador sostuvo la insuficiencia del informe pericial médico practicado en autos, sin embargo tiene por acreditado el daño y acude al baremo General para el fuero civil de Altube y Rinaldi, determinando una incapacidad del 90%.</w:t>
      </w:r>
    </w:p>
    <w:p>
      <w:pPr>
        <w:pStyle w:val="[Normal]"/>
        <w:spacing w:line="360" w:lineRule="auto"/>
        <w:ind w:firstLine="1134"/>
        <w:jc w:val="both"/>
        <w:rPr>
          <w:lang w:val="es-AR" w:eastAsia="es-AR" w:bidi="es-AR"/>
        </w:rPr>
      </w:pPr>
      <w:r>
        <w:rPr>
          <w:lang w:val="es-AR" w:eastAsia="es-AR" w:bidi="es-AR"/>
        </w:rPr>
        <w:t xml:space="preserve">Sostiene que ante lo que él entiende como "no pericia", el a quo debió haber ordenado otra, en tanto éste puede tener por acreditado el daño pero no la incapacidad  que el mismo puede generar.</w:t>
      </w:r>
    </w:p>
    <w:p>
      <w:pPr>
        <w:pStyle w:val="[Normal]"/>
        <w:spacing w:line="360" w:lineRule="auto"/>
        <w:ind w:firstLine="1134"/>
        <w:jc w:val="both"/>
        <w:rPr>
          <w:lang w:val="es-AR" w:eastAsia="es-AR" w:bidi="es-AR"/>
        </w:rPr>
      </w:pPr>
      <w:r>
        <w:rPr>
          <w:lang w:val="es-AR" w:eastAsia="es-AR" w:bidi="es-AR"/>
        </w:rPr>
        <w:t xml:space="preserve">A continuación argumenta en más sobre lo sostenido por su parte y que en definitiva ante lo dicho por el juez, concretamente  que el informe que se allegara NO puede calificarse como una pericia en términos científicos, el rubro incapacidad sobreviniente- lesiones no puede tenerse por acreditado en éstos autos, por todo lo cual solicita se revoque el fallo apelado, con costas.</w:t>
      </w:r>
    </w:p>
    <w:p>
      <w:pPr>
        <w:pStyle w:val="[Normal]"/>
        <w:spacing w:line="360" w:lineRule="auto"/>
        <w:ind w:firstLine="1134"/>
        <w:jc w:val="both"/>
        <w:rPr>
          <w:lang w:val="es-AR" w:eastAsia="es-AR" w:bidi="es-AR"/>
        </w:rPr>
      </w:pPr>
      <w:r>
        <w:rPr>
          <w:lang w:val="es-AR" w:eastAsia="es-AR" w:bidi="es-AR"/>
        </w:rPr>
        <w:t xml:space="preserve">Entrando a resolver, por un orden lógico he de comenzar por la atribución de responsabilidad que viene cuestionada por la citada en garantía, quien objeta que no se haya considerado la interversión en el hecho la conducta de la víctima de autos.</w:t>
      </w:r>
    </w:p>
    <w:p>
      <w:pPr>
        <w:pStyle w:val="[Normal]"/>
        <w:spacing w:line="360" w:lineRule="auto"/>
        <w:ind w:firstLine="1134"/>
        <w:jc w:val="both"/>
        <w:rPr>
          <w:lang w:val="es-AR" w:eastAsia="es-AR" w:bidi="es-AR"/>
        </w:rPr>
      </w:pPr>
      <w:r>
        <w:rPr>
          <w:lang w:val="es-AR" w:eastAsia="es-AR" w:bidi="es-AR"/>
        </w:rPr>
        <w:t xml:space="preserve">Ello así, he de aclarar que no existe discrepancia acerca del lugar y mecánica del hecho, tal y como lo ha expuesto el juzgador primero, en cuanto a que :"... el 24/05/22 aproximadamente a las 17 Hs., en ocasión de estar la actora  cruzando a pie la Avda. Perón, a la altura de la Escuela 502, en sentido Este-Oeste, fue embestida por el vehículo marca Renault  Master dominio HXK779 conducido por el accionado Carrasquera. (Art. 354 Inc. 1° del C.P.C. y su Doct.)".</w:t>
      </w:r>
    </w:p>
    <w:p>
      <w:pPr>
        <w:pStyle w:val="[Normal]"/>
        <w:spacing w:line="360" w:lineRule="auto"/>
        <w:ind w:firstLine="1134"/>
        <w:jc w:val="both"/>
        <w:rPr>
          <w:lang w:val="es-AR" w:eastAsia="es-AR" w:bidi="es-AR"/>
        </w:rPr>
      </w:pPr>
      <w:r>
        <w:rPr>
          <w:lang w:val="es-AR" w:eastAsia="es-AR" w:bidi="es-AR"/>
        </w:rPr>
        <w:t xml:space="preserve">Como señaló el a quo, en autos no existe comprobación testimonial ni de otro orden acerca de la mecánica del hecho, a lo que puedo agregar que y ante la falta de contestación de la demanda por parte del conductor del vehículo con que se causara el daño reclamado, debe tenerse por cierto los hechos pertinentes y lícitos que se invocaran en demanda (Art. 353, 354 y cccs del C.P.C. y C.).</w:t>
      </w:r>
    </w:p>
    <w:p>
      <w:pPr>
        <w:pStyle w:val="[Normal]"/>
        <w:spacing w:line="360" w:lineRule="auto"/>
        <w:ind w:firstLine="1134"/>
        <w:jc w:val="both"/>
        <w:rPr>
          <w:lang w:val="es-AR" w:eastAsia="es-AR" w:bidi="es-AR"/>
        </w:rPr>
      </w:pPr>
      <w:r>
        <w:rPr>
          <w:lang w:val="es-AR" w:eastAsia="es-AR" w:bidi="es-AR"/>
        </w:rPr>
        <w:t xml:space="preserve">Tal omisión, conforme lo previsto en el art. 354 inc. 1° del CPCC, importa una admisión tácita de los extremos fácticos que le son personales y de conocimiento directo, como lo es la forma en que se produjo el siniestro y por ello no habiéndose acreditado circunstancias que permitan considerar una versión distinta de la relatada por la actora, corresponde tener por demostrada la mecánica del hecho en los términos expuestos en el escrito inicial.</w:t>
      </w:r>
    </w:p>
    <w:p>
      <w:pPr>
        <w:pStyle w:val="[Normal]"/>
        <w:spacing w:line="360" w:lineRule="auto"/>
        <w:ind w:firstLine="1134"/>
        <w:jc w:val="both"/>
        <w:rPr>
          <w:lang w:val="es-AR" w:eastAsia="es-AR" w:bidi="es-AR"/>
        </w:rPr>
      </w:pPr>
      <w:r>
        <w:rPr>
          <w:lang w:val="es-AR" w:eastAsia="es-AR" w:bidi="es-AR"/>
        </w:rPr>
        <w:t xml:space="preserve">Como bien lo señalara el sentenciante, he tenido oportunidad de ver y revisar el CD enviado junto a la causa penal, el cual  si bien muestra el instante inmediatamente posterior al impacto, no permite reconstruir la secuencia completa del hecho ni observar el modo en que el peatón inició el cruce o la conducta previa del conductor del vehículo. En consecuencia, no constituye prueba suficiente para desvirtuar la presunción que se deriva del silencio procesal de la demandada.( IPP 3538-22 adjuntada como prueba instrumental).</w:t>
      </w:r>
    </w:p>
    <w:p>
      <w:pPr>
        <w:pStyle w:val="[Normal]"/>
        <w:spacing w:line="360" w:lineRule="auto"/>
        <w:ind w:firstLine="1134"/>
        <w:jc w:val="both"/>
        <w:rPr>
          <w:lang w:val="es-AR" w:eastAsia="es-AR" w:bidi="es-AR"/>
        </w:rPr>
      </w:pPr>
      <w:r>
        <w:rPr>
          <w:lang w:val="es-AR" w:eastAsia="es-AR" w:bidi="es-AR"/>
        </w:rPr>
        <w:t xml:space="preserve">Por ello, y como también atinadamente expuso el a quo "...</w:t>
      </w:r>
      <w:r>
        <w:rPr>
          <w:i/>
          <w:lang w:val="es-AR" w:eastAsia="es-AR" w:bidi="es-AR"/>
        </w:rPr>
        <w:t xml:space="preserve">a los fines de eximirse de responsabilidad, la citada en garantía endilgó la responsabilidad por las consecuencias del hecho a la demandante, afirmando que cruzó "corriendo"  una avenida de doble mano y de gran tránsito. Empero, ninguna prueba obra en autos, ni en la causa penal ofrecida como prueba, que acredite esa afirmación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lo que debo agregar lo informado por el perito Ingeniero Javier Telmo Ferretti, respecto a la señalización del lugar que "... </w:t>
      </w:r>
      <w:r>
        <w:rPr>
          <w:i/>
          <w:lang w:val="es-AR" w:eastAsia="es-AR" w:bidi="es-AR"/>
        </w:rPr>
        <w:t xml:space="preserve">se observa en las fotografías adjuntas carteles indicadores de presencia de escuela. Se observa la presencia de lomo de burro sobre dicha arteria en el sector " sur " previo al arroyo</w:t>
      </w:r>
      <w:r>
        <w:rPr>
          <w:lang w:val="es-AR" w:eastAsia="es-AR" w:bidi="es-AR"/>
        </w:rPr>
        <w:t xml:space="preserve">" (fs. 45 Vta. de la causa penal 3538-22 adjuntada como prueba instrumental).</w:t>
      </w:r>
    </w:p>
    <w:p>
      <w:pPr>
        <w:pStyle w:val="[Normal]"/>
        <w:spacing w:line="360" w:lineRule="auto"/>
        <w:ind w:firstLine="1134"/>
        <w:jc w:val="both"/>
        <w:rPr>
          <w:lang w:val="es-AR" w:eastAsia="es-AR" w:bidi="es-AR"/>
        </w:rPr>
      </w:pPr>
      <w:r>
        <w:rPr>
          <w:lang w:val="es-AR" w:eastAsia="es-AR" w:bidi="es-AR"/>
        </w:rPr>
        <w:t xml:space="preserve">Es decir que en la mano que se dirigía el vehículo conducido por el demandado, no pudo llegar al momento en que impacta con la actora, desprevenido atento la existencia de la escuela, como así del reductor de velocidad (lomo de burro).-</w:t>
      </w:r>
    </w:p>
    <w:p>
      <w:pPr>
        <w:pStyle w:val="[Normal]"/>
        <w:spacing w:line="360" w:lineRule="auto"/>
        <w:ind w:firstLine="1134"/>
        <w:jc w:val="both"/>
        <w:rPr>
          <w:lang w:val="es-AR" w:eastAsia="es-AR" w:bidi="es-AR"/>
        </w:rPr>
      </w:pPr>
      <w:r>
        <w:rPr>
          <w:lang w:val="es-AR" w:eastAsia="es-AR" w:bidi="es-AR"/>
        </w:rPr>
        <w:t xml:space="preserve">Así es que, y ante la ausencia de una explicación alternativa verosímil sobre la dinámica del siniestro, corresponde tener por acreditada la mecánica del hecho en los términos expuestos en la presentación inicial, según la cual el peatón fue embestido al cruzar la avenida, sin que se demostrara que haya incurrido en una conducta temeraria o imprevisible que interrumpiera el nexo causal, como postula la apelante, por lo cual y como bien lo determinara el sentenciante, el demandado habrá de responder en forma directa por los daños causados. (Arts. . 1721, 1726, 1729, 1757, 1759 sig. y cc. del Cód. Civil y Comercial)</w:t>
      </w:r>
    </w:p>
    <w:p>
      <w:pPr>
        <w:pStyle w:val="[Normal]"/>
        <w:spacing w:line="360" w:lineRule="auto"/>
        <w:ind w:firstLine="1134"/>
        <w:jc w:val="both"/>
        <w:rPr>
          <w:lang w:val="es-AR" w:eastAsia="es-AR" w:bidi="es-AR"/>
        </w:rPr>
      </w:pPr>
      <w:r>
        <w:rPr>
          <w:lang w:val="es-AR" w:eastAsia="es-AR" w:bidi="es-AR"/>
        </w:rPr>
        <w:t xml:space="preserve">Pasando al segundo punto de los agravios, advierto que los mismos se centran en los valores indemnizatorios y la procedencia de los mismos, en especial el relativo a la incapacidad sobreviniente extremo cuestionado en su memorial por el apoderado de la citada en garantía.</w:t>
      </w:r>
    </w:p>
    <w:p>
      <w:pPr>
        <w:pStyle w:val="[Normal]"/>
        <w:spacing w:line="360" w:lineRule="auto"/>
        <w:ind w:firstLine="1134"/>
        <w:jc w:val="both"/>
        <w:rPr>
          <w:lang w:val="es-AR" w:eastAsia="es-AR" w:bidi="es-AR"/>
        </w:rPr>
      </w:pPr>
      <w:r>
        <w:rPr>
          <w:lang w:val="es-AR" w:eastAsia="es-AR" w:bidi="es-AR"/>
        </w:rPr>
        <w:t xml:space="preserve">En efecto, el apoderado de la misma centra su queja en la  inexistencia de pericia médica, en tanto que la llevada a cabo en autos fue oportunamente descalificada por su parte y que, pese a ello el sentenciante " se remita al baremo para terminar otorgando la misma incapacidad que informara el perito médico".</w:t>
      </w:r>
    </w:p>
    <w:p>
      <w:pPr>
        <w:pStyle w:val="[Normal]"/>
        <w:spacing w:line="360" w:lineRule="auto"/>
        <w:ind w:firstLine="1134"/>
        <w:jc w:val="both"/>
        <w:rPr>
          <w:lang w:val="es-AR" w:eastAsia="es-AR" w:bidi="es-AR"/>
        </w:rPr>
      </w:pPr>
      <w:r>
        <w:rPr>
          <w:lang w:val="es-AR" w:eastAsia="es-AR" w:bidi="es-AR"/>
        </w:rPr>
        <w:t xml:space="preserve">En este punto, he de coincidir con el apelante, ello en tanto la pericia médica llevada a cabo en autos y como bien lo expresara en su sentencia el a quo "... el examen médico resulta por demás de escueto. En las CONSIDERACIONES MÉDICO LEGALES" la experta se limitó a informar que la actora padeció una fractura occipital y, sobre la base de esa afirmación, cuyo sustento radica únicamente en la remisión a las constancias de la historia clínica, concluye otorgando un 90% de incapacidad "total y permanente".  Así, </w:t>
      </w:r>
      <w:r>
        <w:rPr>
          <w:u w:val="single"/>
          <w:lang w:val="es-AR" w:eastAsia="es-AR" w:bidi="es-AR"/>
        </w:rPr>
        <w:t xml:space="preserve">el informe no puede calificarse como una pericia en términos científicos, precisamente por carecer de fundamentos científicos y, consecuentemente, no podré considerarlo a los fines del tratamiento del presente rubro</w:t>
      </w:r>
      <w:r>
        <w:rPr>
          <w:lang w:val="es-AR" w:eastAsia="es-AR" w:bidi="es-AR"/>
        </w:rPr>
        <w:t xml:space="preserve"> ..." (el destacado es mio).</w:t>
      </w:r>
    </w:p>
    <w:p>
      <w:pPr>
        <w:pStyle w:val="[Normal]"/>
        <w:spacing w:line="360" w:lineRule="auto"/>
        <w:ind w:firstLine="1134"/>
        <w:jc w:val="both"/>
        <w:rPr>
          <w:lang w:val="es-AR" w:eastAsia="es-AR" w:bidi="es-AR"/>
        </w:rPr>
      </w:pPr>
      <w:r>
        <w:rPr>
          <w:lang w:val="es-AR" w:eastAsia="es-AR" w:bidi="es-AR"/>
        </w:rPr>
        <w:t xml:space="preserve">Y, sin perjuicio del loable trabajo expuesto por el sentenciante para llegar a determinar la incapacidad, lo cierto es que la falta de pericia torna muy dificultosa esa tarea, razón por la cual esta Alzada dispuso la realización de un nuevo informe pericial. como medida para mejor proveer.</w:t>
      </w:r>
    </w:p>
    <w:p>
      <w:pPr>
        <w:pStyle w:val="[Normal]"/>
        <w:spacing w:line="360" w:lineRule="auto"/>
        <w:ind w:firstLine="1134"/>
        <w:jc w:val="both"/>
        <w:rPr>
          <w:i/>
          <w:lang w:val="es-AR" w:eastAsia="es-AR" w:bidi="es-AR"/>
        </w:rPr>
      </w:pPr>
      <w:r>
        <w:rPr>
          <w:lang w:val="es-AR" w:eastAsia="es-AR" w:bidi="es-AR"/>
        </w:rPr>
        <w:t xml:space="preserve">Realizado el mismo por parte de la Dra. Carolina Laura Aguilar, Perito Médico Forense de la Asesoría Pericial Departamental, detalla su exámen sobre la peritada, concretamente expone el siguiente cuadro: "</w:t>
      </w:r>
      <w:r>
        <w:rPr>
          <w:i/>
          <w:lang w:val="es-AR" w:eastAsia="es-AR" w:bidi="es-AR"/>
        </w:rPr>
        <w:t xml:space="preserve">Anamnesis: No recuerda nada del accidente, a cuidado permanente del hijo mayor. El mismo refiere AVP peatón/auto hace aproximadamente 4 años, trasladada a hospital por SAME, donde permanece internada en terapia intensiva y luego en sala de clínica médica, por traumatismo de cráneo. Inspección: Sin perdida de los reparos anatómicos a la inspección. Movilidad: deambula con bastón y ayuda de tercero. Presenta agitación luego de la deambulación. Limitación en la movilidad, dificultad para subir escalón y sentarse en una silla, requiere ayuda de tercero. Examen neurológico: amnesia del episodio denunciado en autos. Se presenta muy angustiada. Relato inconsistente, no logra una conversación fluida. No puede responder consignas/preguntas simples. Parcialmente orientada en tiempo y espacio. A cuidado de familiar en forma permanente. III.- CONSIDERACIONES MEDICO LEGALES. Conforme a las constancias de autos y al examen médico pericial realizado a FERREYRA MARTA ALICIA surge que del accidente peatón auto que protagonizara y del que resultara su asistencia inicial en el Hospital Zonal por traumatismo de cráneo grave, motivo de esta pericia" (informe presentado mediante escrito electrónico del 18/12/2025).</w:t>
      </w:r>
    </w:p>
    <w:p>
      <w:pPr>
        <w:pStyle w:val="[Normal]"/>
        <w:spacing w:line="360" w:lineRule="auto"/>
        <w:ind w:firstLine="1134"/>
        <w:jc w:val="both"/>
        <w:rPr>
          <w:lang w:val="es-AR" w:eastAsia="es-AR" w:bidi="es-AR"/>
        </w:rPr>
      </w:pPr>
      <w:r>
        <w:rPr>
          <w:lang w:val="es-AR" w:eastAsia="es-AR" w:bidi="es-AR"/>
        </w:rPr>
        <w:t xml:space="preserve">Y, la conclusión expuesta por la experta es la siguiente: "</w:t>
      </w:r>
      <w:r>
        <w:rPr>
          <w:i/>
          <w:lang w:val="es-AR" w:eastAsia="es-AR" w:bidi="es-AR"/>
        </w:rPr>
        <w:t xml:space="preserve">En el caso que nos ocupa, FERREYRA MARTA ALICIA, las lesiones curaron con secuelas y se comportan una incapacidad equivalente al 90% parcial y permanente fractura occipital con daño orgánico cerebral (requiere supervisión permanente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decir y pese a que el cuestionamiento que se efectuara sobre una probable discrecionalidad por parte del a quo, lo cierto es que ahora existe un informe pericial suficientemente fundamentado, que en definitiva da por tierra aquella especulación expuesta por el recurrente, esto es la inexistencia de prueba científica que avale el porcentaje de incapacidad que sufriera la actora en el evento motivo de autos.</w:t>
      </w:r>
    </w:p>
    <w:p>
      <w:pPr>
        <w:pStyle w:val="[Normal]"/>
        <w:spacing w:line="360" w:lineRule="auto"/>
        <w:ind w:firstLine="1134"/>
        <w:jc w:val="both"/>
        <w:rPr>
          <w:lang w:val="es-AR" w:eastAsia="es-AR" w:bidi="es-AR"/>
        </w:rPr>
      </w:pPr>
      <w:r>
        <w:rPr>
          <w:lang w:val="es-AR" w:eastAsia="es-AR" w:bidi="es-AR"/>
        </w:rPr>
        <w:t xml:space="preserve">Como muy bien lo señalara mi colega, Dra Scaraffia recientemente, en cuanto a que : "</w:t>
      </w:r>
      <w:r>
        <w:rPr>
          <w:i/>
          <w:lang w:val="es-AR" w:eastAsia="es-AR" w:bidi="es-AR"/>
        </w:rPr>
        <w:t xml:space="preserve">Corresponde recordar que la apreciación de la prueba pericial no se reduce a una suma de dictámenes ni a la mera comparación de porcentajes, sino a la elección -conforme las reglas de la sana crítica- del informe que mejor restituye, con respaldo clínico y coherencia interna, el estado secuelar efectivamente verificado. En ese marco, esta Alzada asigna prevalencia convictiva al dictamen médico más reciente, por cuanto integra de modo más completo las constancias asistenciales inmediatas al hecho con la exploración física actual y arriba a una conclusión proporcionada al cuadro funcional observado, sin necesidad de descalificar los informes anteriores, que se valoran como insumos parciales del iter probatorio. Tal método es el que exige la jurisprudencia cuando habilita a preferir la prueba idónea y decisiva para la solución del pleito, sin obligación de ponderarlo todo por igual</w:t>
      </w:r>
      <w:r>
        <w:rPr>
          <w:lang w:val="es-AR" w:eastAsia="es-AR" w:bidi="es-AR"/>
        </w:rPr>
        <w:t xml:space="preserve">" (Esta Alzada en causa N° 5501-24 caratulada "Estigarribia Walter Javier C/ Baibona Pablo Y Otros S/ Daños Y Perj.Autom. C/Les. O Muerte (Exc.Estado)", registrado en registro de sentencias el 07/10/2025 12:21:33 hs. bajo el número RS-143-2025). </w:t>
      </w:r>
    </w:p>
    <w:p>
      <w:pPr>
        <w:pStyle w:val="[Normal]"/>
        <w:spacing w:line="360" w:lineRule="auto"/>
        <w:ind w:firstLine="1134"/>
        <w:jc w:val="both"/>
        <w:rPr>
          <w:lang w:val="es-AR" w:eastAsia="es-AR" w:bidi="es-AR"/>
        </w:rPr>
      </w:pPr>
      <w:r>
        <w:rPr>
          <w:lang w:val="es-AR" w:eastAsia="es-AR" w:bidi="es-AR"/>
        </w:rPr>
        <w:t xml:space="preserve">Es así, que el rubro incapacidad parcial y permanente ha sido bien meritado por el a quo (incluyendo el daño psicológico que se determinara en el informe pericial respectivo presentado mediante escrito electrónico del 09/04/2025 y que no fuera objetado en el recurso), en tanto que el informe solicitado por esta Alzada, claramente coincide con el determinado en sentencia, habiéndose evaluado por el Magistrado todos los aspectos de su vida de relación así como capacidad productiva, edad, sexo, y demás parámetros que incidieron en la cuantificación, aspectos que no fueron objeto de agravio en tanto que el recurrente solo cuestionó la ausencia de prueba científica que determinara el grado de incapacidad.-</w:t>
      </w:r>
    </w:p>
    <w:p>
      <w:pPr>
        <w:pStyle w:val="[Normal]"/>
        <w:spacing w:line="360" w:lineRule="auto"/>
        <w:ind w:firstLine="1134"/>
        <w:jc w:val="both"/>
        <w:rPr>
          <w:lang w:val="es-AR" w:eastAsia="es-AR" w:bidi="es-AR"/>
        </w:rPr>
      </w:pPr>
      <w:r>
        <w:rPr>
          <w:lang w:val="es-AR" w:eastAsia="es-AR" w:bidi="es-AR"/>
        </w:rPr>
        <w:t xml:space="preserve">El porcentaje de incapacidad brindado por el perito constituye un elemento importante, como pauta orientadora y si bien no resulta vinculante, para apartarse del dictamen pericial fundado es necesario encontrar otros elementos de prueba que puedan llevar a resultado distinto (art. 474 del CPCC),  máxime cuando las conclusiones de la experticia en esta sede  no fueron controvertidas por los litigantes, y fue sometida al debido contradictorio con posibilidad de control e impugnación de aquellos (art. 474 del CPCC y su doctrina).-</w:t>
      </w:r>
    </w:p>
    <w:p>
      <w:pPr>
        <w:pStyle w:val="[Normal]"/>
        <w:spacing w:line="360" w:lineRule="auto"/>
        <w:ind w:firstLine="1134"/>
        <w:jc w:val="both"/>
        <w:rPr>
          <w:lang w:val="es-AR" w:eastAsia="es-AR" w:bidi="es-AR"/>
        </w:rPr>
      </w:pPr>
      <w:r>
        <w:rPr>
          <w:lang w:val="es-AR" w:eastAsia="es-AR" w:bidi="es-AR"/>
        </w:rPr>
        <w:t xml:space="preserve">Además, también he de discrepar con el recurrente en cuanto a que la frase que se empleara en la demanda,  concretamente "y/o lo que en más o menos resulte de las probanzas de autos" sería un mero "cliché" (textual), en tanto aquí existe prueba obtenida durante el proceso que avala la incapacidad determinada en la sentencia, por  lo cual , el otorgar una cifra mayor  no viola la congruencia ( art. 165 CPC.), en tanto que "... No media infracción legal aun cuando la sentencia otorgue una indemnización mayor a la reclamada en la demanda si en ésta quedó aquélla librada a lo que, "en más o en menos", resulte de la prueba (art. 163 inc. 6, C.P.C.)..." ( SCBA, Ac 42935 S 4-6-1991 ,SCBA, Ac 65214 S 4-3-1997,SCBA, AC 81476 S 23-4-2003,SCBA, C 102641 S 28-9-2011,SCBA, C 108764 S 12-9-2012 ).</w:t>
      </w:r>
    </w:p>
    <w:p>
      <w:pPr>
        <w:pStyle w:val="[Normal]"/>
        <w:spacing w:line="360" w:lineRule="auto"/>
        <w:ind w:firstLine="1134"/>
        <w:jc w:val="both"/>
        <w:rPr>
          <w:lang w:val="es-AR" w:eastAsia="es-AR" w:bidi="es-AR"/>
        </w:rPr>
      </w:pPr>
      <w:r>
        <w:rPr>
          <w:lang w:val="es-AR" w:eastAsia="es-AR" w:bidi="es-AR"/>
        </w:rPr>
        <w:t xml:space="preserve">Por su parte, la disconformidad expuesta por la parte actora, en relación a los valores indemnizatorios otorgados por el sentenciante primero, no pasan de una mera disconformidad subjetiva sin cuestionar los fundamentos dados por el a quo, por lo que no logran a conmover el análisis minucioso y coherente expuesto en la sentencia (art. 260 , 261 y ccs. del C.P.C. y 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los recursos de apelación interpuestos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Atento el éxito obtenido en los distintos recursos, se imponen la costas de esta instancia en un 70% a la citada en garantía y un 30% a la actora (Art. 68 y Ccs.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los recursos de apelación interpuestos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Atento el éxito obtenido en los distintos recursos, se imponen la costas de esta instancia en un 70% a la citada en garantía y un 30% a la actora (Art. 68 y Ccs.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10:11:15 -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10:31:10 -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11:53:55 -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‰7o")è&amp;h7OAŠ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237902090006722347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17/03/2026 11:54:15 hs. bajo el número RS-33-2026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