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5862-25</w:t>
      </w:r>
      <w:r>
        <w:rPr>
          <w:lang w:val="es-AR" w:eastAsia="es-AR" w:bidi="es-AR"/>
        </w:rPr>
        <w:t xml:space="preserve"> caratulada </w:t>
      </w:r>
      <w:r>
        <w:rPr>
          <w:b/>
          <w:lang w:val="es-AR" w:eastAsia="es-AR" w:bidi="es-AR"/>
        </w:rPr>
        <w:t xml:space="preserve">"</w:t>
      </w:r>
      <w:r>
        <w:rPr>
          <w:b/>
          <w:color w:val="000000"/>
          <w:lang w:val="es-AR" w:eastAsia="es-AR" w:bidi="es-AR"/>
        </w:rPr>
        <w:t xml:space="preserve">SALA, ANALIA C/ SALA, ALICIA BEATRIZ S/INCIDENTE (EXCEPTO LOS TIPIFICADOS EXPRESAMENTE) (INFOREC 939)</w:t>
      </w:r>
      <w:r>
        <w:rPr>
          <w:b/>
          <w:lang w:val="es-AR" w:eastAsia="es-AR" w:bidi="es-AR"/>
        </w:rPr>
        <w:t xml:space="preserve">"</w:t>
      </w:r>
      <w:r>
        <w:rPr>
          <w:lang w:val="es-AR" w:eastAsia="es-AR" w:bidi="es-AR"/>
        </w:rPr>
        <w:t xml:space="preserve">, Expte. </w:t>
      </w:r>
      <w:r>
        <w:rPr>
          <w:color w:val="000000"/>
          <w:lang w:val="es-AR" w:eastAsia="es-AR" w:bidi="es-AR"/>
        </w:rPr>
        <w:t xml:space="preserve">N° CO-45233 </w:t>
      </w:r>
      <w:r>
        <w:rPr>
          <w:lang w:val="es-AR" w:eastAsia="es-AR" w:bidi="es-AR"/>
        </w:rPr>
        <w:t xml:space="preserve">del Juzgado de Paz Letrado de Colón, se practicó el sorteo de ley que determinó que la votación debía efectuarse en el siguiente orden: Roberto Degleue y Graciela Scaraffia</w:t>
      </w:r>
      <w:r>
        <w:rPr>
          <w:color w:val="0000FF"/>
          <w:lang w:val="es-AR" w:eastAsia="es-AR" w:bidi="es-AR"/>
        </w:rPr>
        <w:t xml:space="preserv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b/>
          <w:lang w:val="es-AR" w:eastAsia="es-AR" w:bidi="es-AR"/>
        </w:rPr>
        <w:t xml:space="preserve">I.</w:t>
      </w:r>
      <w:r>
        <w:rPr>
          <w:lang w:val="es-AR" w:eastAsia="es-AR" w:bidi="es-AR"/>
        </w:rPr>
        <w:t xml:space="preserve"> La señora Jueza de primera instancia rechazó la demanda deducida por Analía Inés Sala y no aprobó la rendición de cuentas presentada. Aplicó las costas a la parte actora, que resulta vencida. Difirió la regulación de honorarios de los letrados y perito interviniente hasta que obre en autos base regulatoria.</w:t>
      </w:r>
    </w:p>
    <w:p>
      <w:pPr>
        <w:pStyle w:val="[Normal]"/>
        <w:spacing w:line="360" w:lineRule="auto"/>
        <w:ind w:firstLine="1134"/>
        <w:jc w:val="both"/>
        <w:rPr>
          <w:lang w:val="es-AR" w:eastAsia="es-AR" w:bidi="es-AR"/>
        </w:rPr>
      </w:pPr>
      <w:r>
        <w:rPr>
          <w:lang w:val="es-AR" w:eastAsia="es-AR" w:bidi="es-AR"/>
        </w:rPr>
        <w:t xml:space="preserve">Apela en fecha 18/7/25 la apoderada de la parte actora, recurso que es concedido en relación el 27/8/25, fundado en fecha 4/9/25 y contestado el 22/9/25.</w:t>
      </w:r>
    </w:p>
    <w:p>
      <w:pPr>
        <w:pStyle w:val="[Normal]"/>
        <w:spacing w:line="360" w:lineRule="auto"/>
        <w:ind w:firstLine="1134"/>
        <w:jc w:val="both"/>
        <w:rPr>
          <w:lang w:val="es-AR" w:eastAsia="es-AR" w:bidi="es-AR"/>
        </w:rPr>
      </w:pPr>
      <w:r>
        <w:rPr>
          <w:lang w:val="es-AR" w:eastAsia="es-AR" w:bidi="es-AR"/>
        </w:rPr>
        <w:t xml:space="preserve">Ingresados a este Organismo, en fecha 9/10/25 se dicta el llamamiento de autos para sentencia, providencia que estando firme a la fecha deja la causa en condiciones de ser resuelta.</w:t>
      </w:r>
    </w:p>
    <w:p>
      <w:pPr>
        <w:pStyle w:val="[Normal]"/>
        <w:spacing w:line="360" w:lineRule="auto"/>
        <w:ind w:firstLine="1134"/>
        <w:jc w:val="both"/>
        <w:rPr>
          <w:lang w:val="es-AR" w:eastAsia="es-AR" w:bidi="es-AR"/>
        </w:rPr>
      </w:pPr>
      <w:r>
        <w:rPr>
          <w:b/>
          <w:lang w:val="es-AR" w:eastAsia="es-AR" w:bidi="es-AR"/>
        </w:rPr>
        <w:t xml:space="preserve">II. AGRAVIOS ACTORA</w:t>
      </w:r>
    </w:p>
    <w:p>
      <w:pPr>
        <w:pStyle w:val="[Normal]"/>
        <w:spacing w:line="360" w:lineRule="auto"/>
        <w:ind w:firstLine="1134"/>
        <w:jc w:val="both"/>
        <w:rPr>
          <w:lang w:val="es-AR" w:eastAsia="es-AR" w:bidi="es-AR"/>
        </w:rPr>
      </w:pPr>
      <w:r>
        <w:rPr>
          <w:lang w:val="es-AR" w:eastAsia="es-AR" w:bidi="es-AR"/>
        </w:rPr>
        <w:t xml:space="preserve">Se alza contra la sentencia de fecha 7/7/25 que rechazó íntegramente el incidente de rendición de gastos promovido en el marco de la sucesión “Sala José s/ sucesión ab intestato” (Expte. N° 29545), en trámite ante el Juzgado de Paz de Colón, mediante el cual se pretendía la aprobación de las erogaciones efectuadas durante el período de indivisión hereditaria y la determinación del pasivo correspondiente a la coheredera demandada.</w:t>
      </w:r>
    </w:p>
    <w:p>
      <w:pPr>
        <w:pStyle w:val="[Normal]"/>
        <w:spacing w:line="360" w:lineRule="auto"/>
        <w:ind w:firstLine="1134"/>
        <w:jc w:val="both"/>
        <w:rPr>
          <w:lang w:val="es-AR" w:eastAsia="es-AR" w:bidi="es-AR"/>
        </w:rPr>
      </w:pPr>
      <w:r>
        <w:rPr>
          <w:lang w:val="es-AR" w:eastAsia="es-AR" w:bidi="es-AR"/>
        </w:rPr>
        <w:t xml:space="preserve">En primer término, cuestiona el encuadre jurídico efectuado por la judicatura de grado, al considerar que se habría incurrido en un error conceptual al exigir para la aprobación de la rendición, extremos propios de una administración comercial o explotación empresaria, cuando –según afirma– su actuación se limitó a actos conservatorios propios de la administración de hecho durante la indivisión.</w:t>
      </w:r>
    </w:p>
    <w:p>
      <w:pPr>
        <w:pStyle w:val="[Normal]"/>
        <w:spacing w:line="360" w:lineRule="auto"/>
        <w:ind w:firstLine="1134"/>
        <w:jc w:val="both"/>
        <w:rPr>
          <w:lang w:val="es-AR" w:eastAsia="es-AR" w:bidi="es-AR"/>
        </w:rPr>
      </w:pPr>
      <w:r>
        <w:rPr>
          <w:lang w:val="es-AR" w:eastAsia="es-AR" w:bidi="es-AR"/>
        </w:rPr>
        <w:t xml:space="preserve">Alega que la sentencia confundió la obligación de rendir cuentas por gastos de conservación con la llevanza de contabilidad integral de una explotación agropecuaria, requiriendo acreditación de ingresos y justificación de operaciones que, conforme sostiene, no podían realizarse sin unanimidad de herederos ni autorización judicial.</w:t>
      </w:r>
    </w:p>
    <w:p>
      <w:pPr>
        <w:pStyle w:val="[Normal]"/>
        <w:spacing w:line="360" w:lineRule="auto"/>
        <w:ind w:firstLine="1134"/>
        <w:jc w:val="both"/>
        <w:rPr>
          <w:lang w:val="es-AR" w:eastAsia="es-AR" w:bidi="es-AR"/>
        </w:rPr>
      </w:pPr>
      <w:r>
        <w:rPr>
          <w:lang w:val="es-AR" w:eastAsia="es-AR" w:bidi="es-AR"/>
        </w:rPr>
        <w:t xml:space="preserve">Refiere que la coheredera demandada se opuso reiteradamente a cualquier forma de administración, circunstancia que –según su postura– impedía la realización de actos de disposición o explotación económica, quedando circunscripta la gestión a la mera preservación de los bienes. En ese marco, sostiene que la rendición debía limitarse a los egresos necesarios para evitar el deterioro o pérdida del acervo, los que afirma haber documentado mediante facturas, recibos y comprobantes individualizados por cada bien.</w:t>
      </w:r>
    </w:p>
    <w:p>
      <w:pPr>
        <w:pStyle w:val="[Normal]"/>
        <w:spacing w:line="360" w:lineRule="auto"/>
        <w:ind w:firstLine="1134"/>
        <w:jc w:val="both"/>
        <w:rPr>
          <w:lang w:val="es-AR" w:eastAsia="es-AR" w:bidi="es-AR"/>
        </w:rPr>
      </w:pPr>
      <w:r>
        <w:rPr>
          <w:lang w:val="es-AR" w:eastAsia="es-AR" w:bidi="es-AR"/>
        </w:rPr>
        <w:t xml:space="preserve">Asimismo, cuestiona la valoración de la prueba testimonial efectuada en la sentencia, al entender que los testimonios ponderados carecen de imparcialidad por existir –a su juicio– intereses personales contrapuestos o directos en relación con los bienes sucesorios, lo que tornaría improcedente concluir, a partir de tales declaraciones, que existió explotación comercial del establecimiento rural a nombre de la sucesión.</w:t>
      </w:r>
    </w:p>
    <w:p>
      <w:pPr>
        <w:pStyle w:val="[Normal]"/>
        <w:spacing w:line="360" w:lineRule="auto"/>
        <w:ind w:firstLine="1134"/>
        <w:jc w:val="both"/>
        <w:rPr>
          <w:lang w:val="es-AR" w:eastAsia="es-AR" w:bidi="es-AR"/>
        </w:rPr>
      </w:pPr>
      <w:r>
        <w:rPr>
          <w:lang w:val="es-AR" w:eastAsia="es-AR" w:bidi="es-AR"/>
        </w:rPr>
        <w:t xml:space="preserve">En segundo término, la apelante se agravia por la omisión de tratamiento del reconocimiento parcial efectuado por la demandada en su contestación, respecto de determinados gastos vinculados al departamento sito en la Ciudad Autónoma de Buenos Aires y a los vehículos integrantes del acervo.</w:t>
      </w:r>
    </w:p>
    <w:p>
      <w:pPr>
        <w:pStyle w:val="[Normal]"/>
        <w:spacing w:line="360" w:lineRule="auto"/>
        <w:ind w:firstLine="1134"/>
        <w:jc w:val="both"/>
        <w:rPr>
          <w:lang w:val="es-AR" w:eastAsia="es-AR" w:bidi="es-AR"/>
        </w:rPr>
      </w:pPr>
      <w:r>
        <w:rPr>
          <w:lang w:val="es-AR" w:eastAsia="es-AR" w:bidi="es-AR"/>
        </w:rPr>
        <w:t xml:space="preserve">Sostiene que el rechazo integral de la rendición desconoce dicho reconocimiento expreso, vulnerando el principio de congruencia, en tanto el órgano jurisdiccional debió, al menos, aprobar parcialmente aquellos rubros admitidos por la contraparte y debidamente documentados.</w:t>
      </w:r>
    </w:p>
    <w:p>
      <w:pPr>
        <w:pStyle w:val="[Normal]"/>
        <w:spacing w:line="360" w:lineRule="auto"/>
        <w:ind w:firstLine="1134"/>
        <w:jc w:val="both"/>
        <w:rPr>
          <w:lang w:val="es-AR" w:eastAsia="es-AR" w:bidi="es-AR"/>
        </w:rPr>
      </w:pPr>
      <w:r>
        <w:rPr>
          <w:lang w:val="es-AR" w:eastAsia="es-AR" w:bidi="es-AR"/>
        </w:rPr>
        <w:t xml:space="preserve">Afirma que los gastos reconocidos se encuentran respaldados por comprobantes originales –impuestos, tasas, servicios, seguros y patentamientos– y que la falta de consideración específica de tales constancias configura una decisión arbitraria por prescindencia de prueba conducente.</w:t>
      </w:r>
    </w:p>
    <w:p>
      <w:pPr>
        <w:pStyle w:val="[Normal]"/>
        <w:spacing w:line="360" w:lineRule="auto"/>
        <w:ind w:firstLine="1134"/>
        <w:jc w:val="both"/>
        <w:rPr>
          <w:lang w:val="es-AR" w:eastAsia="es-AR" w:bidi="es-AR"/>
        </w:rPr>
      </w:pPr>
      <w:r>
        <w:rPr>
          <w:lang w:val="es-AR" w:eastAsia="es-AR" w:bidi="es-AR"/>
        </w:rPr>
        <w:t xml:space="preserve">En tercer lugar, insiste en la naturaleza estrictamente conservatoria de las erogaciones realizadas, detallando que comprenden impuestos inmobiliarios, tasas municipales, expensas y servicios del inmueble urbano; mantenimiento básico del establecimiento rural; vacunaciones obligatorias e inscripciones sanitarias del ganado; y gastos de patentamiento, seguro y verificación técnica de los vehículos.</w:t>
      </w:r>
    </w:p>
    <w:p>
      <w:pPr>
        <w:pStyle w:val="[Normal]"/>
        <w:spacing w:line="360" w:lineRule="auto"/>
        <w:ind w:firstLine="1134"/>
        <w:jc w:val="both"/>
        <w:rPr>
          <w:lang w:val="es-AR" w:eastAsia="es-AR" w:bidi="es-AR"/>
        </w:rPr>
      </w:pPr>
      <w:r>
        <w:rPr>
          <w:lang w:val="es-AR" w:eastAsia="es-AR" w:bidi="es-AR"/>
        </w:rPr>
        <w:t xml:space="preserve">Aduce que tales gastos no eran optativos sino necesarios para evitar la pérdida o deterioro de los bienes, por lo que –en su criterio– obligan proporcionalmente a todas las personas coherederas en función de sus respectivas cuotas, no pudiendo una de ellas beneficiarse de la conservación sin contribuir a su costo. Invoca al respecto la aplicación de los principios que rigen el condominio y la prohibición del enriquecimiento sin causa, así como el deber de solidaridad propio de las relaciones sucesorias.</w:t>
      </w:r>
    </w:p>
    <w:p>
      <w:pPr>
        <w:pStyle w:val="[Normal]"/>
        <w:spacing w:line="360" w:lineRule="auto"/>
        <w:ind w:firstLine="1134"/>
        <w:jc w:val="both"/>
        <w:rPr>
          <w:lang w:val="es-AR" w:eastAsia="es-AR" w:bidi="es-AR"/>
        </w:rPr>
      </w:pPr>
      <w:r>
        <w:rPr>
          <w:lang w:val="es-AR" w:eastAsia="es-AR" w:bidi="es-AR"/>
        </w:rPr>
        <w:t xml:space="preserve">En cuarto término, se agravia por la imposición de costas a su parte sosteniendo que existió reconocimiento parcial de los gastos y por ende, un vencimiento recíproco que imponía la aplicación del art. 71 del CPCC, o bien la eximición total o parcial en atención a las particularidades del caso.</w:t>
      </w:r>
    </w:p>
    <w:p>
      <w:pPr>
        <w:pStyle w:val="[Normal]"/>
        <w:spacing w:line="360" w:lineRule="auto"/>
        <w:ind w:firstLine="1134"/>
        <w:jc w:val="both"/>
        <w:rPr>
          <w:lang w:val="es-AR" w:eastAsia="es-AR" w:bidi="es-AR"/>
        </w:rPr>
      </w:pPr>
      <w:r>
        <w:rPr>
          <w:lang w:val="es-AR" w:eastAsia="es-AR" w:bidi="es-AR"/>
        </w:rPr>
        <w:t xml:space="preserve">Añade que la conducta procesal de la demandada habría sido dilatoria, al oponerse sistemáticamente a la administración y no impulsar prueba oportunamente ofrecida, circunstancias que –según afirma– debieron ser ponderadas al momento de distribuir las costas.</w:t>
      </w:r>
    </w:p>
    <w:p>
      <w:pPr>
        <w:pStyle w:val="[Normal]"/>
        <w:spacing w:line="360" w:lineRule="auto"/>
        <w:ind w:firstLine="1134"/>
        <w:jc w:val="both"/>
        <w:rPr>
          <w:lang w:val="es-AR" w:eastAsia="es-AR" w:bidi="es-AR"/>
        </w:rPr>
      </w:pPr>
      <w:r>
        <w:rPr>
          <w:lang w:val="es-AR" w:eastAsia="es-AR" w:bidi="es-AR"/>
        </w:rPr>
        <w:t xml:space="preserve">Finalmente, denuncia violación del derecho de defensa y del debido proceso por falta de motivación suficiente, al entender que la sentencia se limitó a formular consideraciones generales sin analizar en concreto: (i) el reconocimiento expreso de determinados gastos; (ii) la naturaleza conservatoria de las erogaciones; (iii) la alegada imposibilidad legal de explotación sin acuerdo unánime; y (iv) la prueba documental acompañada.</w:t>
      </w:r>
    </w:p>
    <w:p>
      <w:pPr>
        <w:pStyle w:val="[Normal]"/>
        <w:spacing w:line="360" w:lineRule="auto"/>
        <w:ind w:firstLine="1134"/>
        <w:jc w:val="both"/>
        <w:rPr>
          <w:lang w:val="es-AR" w:eastAsia="es-AR" w:bidi="es-AR"/>
        </w:rPr>
      </w:pPr>
      <w:r>
        <w:rPr>
          <w:lang w:val="es-AR" w:eastAsia="es-AR" w:bidi="es-AR"/>
        </w:rPr>
        <w:t xml:space="preserve">En tal sentido, sostiene que la omisión de tratamiento de cuestiones conducentes y de prueba relevante vulnera las garantías constitucionales de propiedad y defensa en juicio, dejando planteada la reserva del caso federal para la eventual interposición del recurso extraordinario previsto en el art. 14 de la Ley 48.</w:t>
      </w:r>
    </w:p>
    <w:p>
      <w:pPr>
        <w:pStyle w:val="[Normal]"/>
        <w:spacing w:line="360" w:lineRule="auto"/>
        <w:ind w:firstLine="1134"/>
        <w:jc w:val="both"/>
        <w:rPr>
          <w:lang w:val="es-AR" w:eastAsia="es-AR" w:bidi="es-AR"/>
        </w:rPr>
      </w:pPr>
      <w:r>
        <w:rPr>
          <w:lang w:val="es-AR" w:eastAsia="es-AR" w:bidi="es-AR"/>
        </w:rPr>
        <w:t xml:space="preserve">En función de todo ello, solicita la revocación del decisorio apelado, la aprobación total o al menos parcial de la rendición de cuentas presentada, la determinación del pasivo a cargo de la coheredera demandada en proporción a su participación hereditaria y la imposición de costas a esta última.</w:t>
      </w:r>
    </w:p>
    <w:p>
      <w:pPr>
        <w:pStyle w:val="[Normal]"/>
        <w:spacing w:line="360" w:lineRule="auto"/>
        <w:ind w:firstLine="1134"/>
        <w:jc w:val="both"/>
        <w:rPr>
          <w:lang w:val="es-AR" w:eastAsia="es-AR" w:bidi="es-AR"/>
        </w:rPr>
      </w:pPr>
      <w:r>
        <w:rPr>
          <w:b/>
          <w:lang w:val="es-AR" w:eastAsia="es-AR" w:bidi="es-AR"/>
        </w:rPr>
        <w:t xml:space="preserve">III. CONTESTACION DEMANDADA</w:t>
      </w:r>
    </w:p>
    <w:p>
      <w:pPr>
        <w:pStyle w:val="[Normal]"/>
        <w:spacing w:line="360" w:lineRule="auto"/>
        <w:ind w:firstLine="1134"/>
        <w:jc w:val="both"/>
        <w:rPr>
          <w:lang w:val="es-AR" w:eastAsia="es-AR" w:bidi="es-AR"/>
        </w:rPr>
      </w:pPr>
      <w:r>
        <w:rPr>
          <w:lang w:val="es-AR" w:eastAsia="es-AR" w:bidi="es-AR"/>
        </w:rPr>
        <w:t xml:space="preserve">Solicita el rechazo íntegro del recurso y la confirmación de la sentencia de fecha 7/7/25, con imposición de costas a la apelante, sosteniendo que el decisorio aplicó correctamente el estándar legal exigible a toda rendición de cuentas en el ámbito sucesorio.</w:t>
      </w:r>
    </w:p>
    <w:p>
      <w:pPr>
        <w:pStyle w:val="[Normal]"/>
        <w:spacing w:line="360" w:lineRule="auto"/>
        <w:ind w:firstLine="1134"/>
        <w:jc w:val="both"/>
        <w:rPr>
          <w:lang w:val="es-AR" w:eastAsia="es-AR" w:bidi="es-AR"/>
        </w:rPr>
      </w:pPr>
      <w:r>
        <w:rPr>
          <w:lang w:val="es-AR" w:eastAsia="es-AR" w:bidi="es-AR"/>
        </w:rPr>
        <w:t xml:space="preserve">En primer término, afirma que la presentación de la actora resultó estructuralmente insuficiente, por cuanto se limitó a enumerar egresos (impuestos, tasas, servicios, expensas y patentamientos), omitiendo consignar ingresos, saldo final, stock inicial y final del rodeo, movimientos de hacienda (nacimientos, mortalidad, bajas), distribución entre coherederas y respaldos documentales mínimos vinculados a la actividad ganadera (registros sanitarios, guías de traslado, constancias fiscales y extractos bancarios).</w:t>
      </w:r>
    </w:p>
    <w:p>
      <w:pPr>
        <w:pStyle w:val="[Normal]"/>
        <w:spacing w:line="360" w:lineRule="auto"/>
        <w:ind w:firstLine="1134"/>
        <w:jc w:val="both"/>
        <w:rPr>
          <w:lang w:val="es-AR" w:eastAsia="es-AR" w:bidi="es-AR"/>
        </w:rPr>
      </w:pPr>
      <w:r>
        <w:rPr>
          <w:lang w:val="es-AR" w:eastAsia="es-AR" w:bidi="es-AR"/>
        </w:rPr>
        <w:t xml:space="preserve">Sostiene que dicha carencia fue el fundamento central del rechazo dispuesto en la instancia anterior, al no haberse cumplido con el deber de presentar una rendición circunstanciada, precisa y documentada que reflejara integralmente la gestión realizada.</w:t>
      </w:r>
    </w:p>
    <w:p>
      <w:pPr>
        <w:pStyle w:val="[Normal]"/>
        <w:spacing w:line="360" w:lineRule="auto"/>
        <w:ind w:firstLine="1134"/>
        <w:jc w:val="both"/>
        <w:rPr>
          <w:lang w:val="es-AR" w:eastAsia="es-AR" w:bidi="es-AR"/>
        </w:rPr>
      </w:pPr>
      <w:r>
        <w:rPr>
          <w:lang w:val="es-AR" w:eastAsia="es-AR" w:bidi="es-AR"/>
        </w:rPr>
        <w:t xml:space="preserve">En cuanto a la alegada inexistencia de explotación comercial, la demandada invoca que en el expediente principal la propia actora habría reconocido la continuidad de la actividad ganadera con posterioridad al fallecimiento del causante, extremo que –según afirma– fue reseñado en la sentencia recurrida.</w:t>
      </w:r>
    </w:p>
    <w:p>
      <w:pPr>
        <w:pStyle w:val="[Normal]"/>
        <w:spacing w:line="360" w:lineRule="auto"/>
        <w:ind w:firstLine="1134"/>
        <w:jc w:val="both"/>
        <w:rPr>
          <w:lang w:val="es-AR" w:eastAsia="es-AR" w:bidi="es-AR"/>
        </w:rPr>
      </w:pPr>
      <w:r>
        <w:rPr>
          <w:lang w:val="es-AR" w:eastAsia="es-AR" w:bidi="es-AR"/>
        </w:rPr>
        <w:t xml:space="preserve">Añade que las declaraciones testimoniales producidas (entre ellas, las de personas vinculadas a la explotación rural) corroborarían la existencia de manejo del rodeo, destetes y ventas, por lo que, de haberse desarrollado actividad con potencial económico, resultaba imprescindible informar ingresos o, en su defecto, justificar con datos verificables su inexistencia.</w:t>
      </w:r>
    </w:p>
    <w:p>
      <w:pPr>
        <w:pStyle w:val="[Normal]"/>
        <w:spacing w:line="360" w:lineRule="auto"/>
        <w:ind w:firstLine="1134"/>
        <w:jc w:val="both"/>
        <w:rPr>
          <w:lang w:val="es-AR" w:eastAsia="es-AR" w:bidi="es-AR"/>
        </w:rPr>
      </w:pPr>
      <w:r>
        <w:rPr>
          <w:lang w:val="es-AR" w:eastAsia="es-AR" w:bidi="es-AR"/>
        </w:rPr>
        <w:t xml:space="preserve">Argumenta que el art. 747 del CPCC limita las facultades del administrador a actos conservatorios, pero no exime del deber de rendir cuentas de la gestión efectivamente realizada; de modo que, aún bajo la hipótesis de inexistencia de ventas, la rendición debió acreditar stock inicial y final, evolución sanitaria y ausencia de acreditaciones por operaciones comerciales.</w:t>
      </w:r>
    </w:p>
    <w:p>
      <w:pPr>
        <w:pStyle w:val="[Normal]"/>
        <w:spacing w:line="360" w:lineRule="auto"/>
        <w:ind w:firstLine="1134"/>
        <w:jc w:val="both"/>
        <w:rPr>
          <w:lang w:val="es-AR" w:eastAsia="es-AR" w:bidi="es-AR"/>
        </w:rPr>
      </w:pPr>
      <w:r>
        <w:rPr>
          <w:lang w:val="es-AR" w:eastAsia="es-AR" w:bidi="es-AR"/>
        </w:rPr>
        <w:t xml:space="preserve">En relación con los cuestionamientos a la prueba testimonial, la demandada sostiene que, aún prescindiendo de tales declaraciones, el dato determinante surge de manifestaciones de la propia actora en el proceso principal. Afirma que no existe absurdo en la valoración probatoria ni violación de las reglas de la sana crítica, y que los señalamientos de parcialidad constituyen meras discrepancias subjetivas con la apreciación judicial.</w:t>
      </w:r>
    </w:p>
    <w:p>
      <w:pPr>
        <w:pStyle w:val="[Normal]"/>
        <w:spacing w:line="360" w:lineRule="auto"/>
        <w:ind w:firstLine="1134"/>
        <w:jc w:val="both"/>
        <w:rPr>
          <w:lang w:val="es-AR" w:eastAsia="es-AR" w:bidi="es-AR"/>
        </w:rPr>
      </w:pPr>
      <w:r>
        <w:rPr>
          <w:lang w:val="es-AR" w:eastAsia="es-AR" w:bidi="es-AR"/>
        </w:rPr>
        <w:t xml:space="preserve">Respecto del agravio vinculado al reconocimiento parcial de ciertos gastos, la demandada aduce que el objeto del incidente fue la aprobación integral de la rendición, y que la admisión de determinados rubros no subsana la invalidez estructural de la presentación, carente de información sobre ingresos y saldos.</w:t>
      </w:r>
    </w:p>
    <w:p>
      <w:pPr>
        <w:pStyle w:val="[Normal]"/>
        <w:spacing w:line="360" w:lineRule="auto"/>
        <w:ind w:firstLine="1134"/>
        <w:jc w:val="both"/>
        <w:rPr>
          <w:lang w:val="es-AR" w:eastAsia="es-AR" w:bidi="es-AR"/>
        </w:rPr>
      </w:pPr>
      <w:r>
        <w:rPr>
          <w:lang w:val="es-AR" w:eastAsia="es-AR" w:bidi="es-AR"/>
        </w:rPr>
        <w:t xml:space="preserve">En tal sentido, sostiene que el principio de congruencia no impone aprobar parcialmente una rendición insuficiente, pudiendo eventuales rubros puntuales ser objeto de liquidación independiente sin alterar el rechazo global de la rendición como acto procesal unitario.</w:t>
      </w:r>
    </w:p>
    <w:p>
      <w:pPr>
        <w:pStyle w:val="[Normal]"/>
        <w:spacing w:line="360" w:lineRule="auto"/>
        <w:ind w:firstLine="1134"/>
        <w:jc w:val="both"/>
        <w:rPr>
          <w:lang w:val="es-AR" w:eastAsia="es-AR" w:bidi="es-AR"/>
        </w:rPr>
      </w:pPr>
      <w:r>
        <w:rPr>
          <w:lang w:val="es-AR" w:eastAsia="es-AR" w:bidi="es-AR"/>
        </w:rPr>
        <w:t xml:space="preserve">En materia de costas, afirma que no existió vencimiento recíproco sustancial, dado que la actora no logró la aprobación pretendida, por lo que corresponde aplicar el principio objetivo de la derrota (art. 68 CPCC). Rechaza la invocación de temeridad y sostiene que la conducta procesal de su representada se limitó a requerir información, designación de administrador y transparencia en la gestión, extremos que –según indica– surgen del expediente principal.</w:t>
      </w:r>
    </w:p>
    <w:p>
      <w:pPr>
        <w:pStyle w:val="[Normal]"/>
        <w:spacing w:line="360" w:lineRule="auto"/>
        <w:ind w:firstLine="1134"/>
        <w:jc w:val="both"/>
        <w:rPr>
          <w:lang w:val="es-AR" w:eastAsia="es-AR" w:bidi="es-AR"/>
        </w:rPr>
      </w:pPr>
      <w:r>
        <w:rPr>
          <w:lang w:val="es-AR" w:eastAsia="es-AR" w:bidi="es-AR"/>
        </w:rPr>
        <w:t xml:space="preserve">Asimismo, cuestiona la procedencia del planteo relativo a un supuesto arrendamiento del campo, por entender que se trata de una pretensión ajena al objeto del incidente, fundada en cálculos teóricos sin respaldo contractual ni probatorio suficiente, cuya desestimación por el a quo reputa acertada.</w:t>
      </w:r>
    </w:p>
    <w:p>
      <w:pPr>
        <w:pStyle w:val="[Normal]"/>
        <w:spacing w:line="360" w:lineRule="auto"/>
        <w:ind w:firstLine="1134"/>
        <w:jc w:val="both"/>
        <w:rPr>
          <w:lang w:val="es-AR" w:eastAsia="es-AR" w:bidi="es-AR"/>
        </w:rPr>
      </w:pPr>
      <w:r>
        <w:rPr>
          <w:lang w:val="es-AR" w:eastAsia="es-AR" w:bidi="es-AR"/>
        </w:rPr>
        <w:t xml:space="preserve">Niega la existencia de arbitrariedad o falta de motivación en la sentencia, afirmando que el pronunciamiento explicitó el estándar jurídico aplicable, valoró la prueba producida y rechazó la rendición por incompleta, sin que se configure cuestión federal autónoma sino mera discrepancia con la apreciación de los hechos y del derecho común.</w:t>
      </w:r>
    </w:p>
    <w:p>
      <w:pPr>
        <w:pStyle w:val="[Normal]"/>
        <w:spacing w:line="360" w:lineRule="auto"/>
        <w:ind w:firstLine="1134"/>
        <w:jc w:val="both"/>
        <w:rPr>
          <w:lang w:val="es-AR" w:eastAsia="es-AR" w:bidi="es-AR"/>
        </w:rPr>
      </w:pPr>
      <w:r>
        <w:rPr>
          <w:lang w:val="es-AR" w:eastAsia="es-AR" w:bidi="es-AR"/>
        </w:rPr>
        <w:t xml:space="preserve">Finalmente, formula reserva de índole penal respecto de la eventual configuración de figuras vinculadas a la administración de bienes ajenos, solicitando –en subsidio y para el caso de advertirse inconsistencias relevantes– la extracción de testimonios.</w:t>
      </w:r>
    </w:p>
    <w:p>
      <w:pPr>
        <w:pStyle w:val="[Normal]"/>
        <w:spacing w:line="360" w:lineRule="auto"/>
        <w:ind w:firstLine="1134"/>
        <w:jc w:val="both"/>
        <w:rPr>
          <w:lang w:val="es-AR" w:eastAsia="es-AR" w:bidi="es-AR"/>
        </w:rPr>
      </w:pPr>
      <w:r>
        <w:rPr>
          <w:lang w:val="es-AR" w:eastAsia="es-AR" w:bidi="es-AR"/>
        </w:rPr>
        <w:t xml:space="preserve">En consecuencia, solicita se tenga por contestado el memorial, se rechace el recurso de apelación y se confirme íntegramente la sentencia recurrida, con costas a la actora; y, subsidiariamente, que cualquier eventual ajuste puntual no implique la aprobación de la rendición ni altere la imposición de costas.</w:t>
      </w:r>
    </w:p>
    <w:p>
      <w:pPr>
        <w:pStyle w:val="[Normal]"/>
        <w:spacing w:line="360" w:lineRule="auto"/>
        <w:ind w:firstLine="1134"/>
        <w:jc w:val="both"/>
        <w:rPr>
          <w:lang w:val="es-AR" w:eastAsia="es-AR" w:bidi="es-AR"/>
        </w:rPr>
      </w:pPr>
      <w:r>
        <w:rPr>
          <w:b/>
          <w:lang w:val="es-AR" w:eastAsia="es-AR" w:bidi="es-AR"/>
        </w:rPr>
        <w:t xml:space="preserve">IV.</w:t>
      </w:r>
      <w:r>
        <w:rPr>
          <w:lang w:val="es-AR" w:eastAsia="es-AR" w:bidi="es-AR"/>
        </w:rPr>
        <w:t xml:space="preserve"> En forma preliminar, cabe señalar que el memorial recursivo exhibe deficiencias técnicas, en tanto en diversos pasajes se limita a reiterar argumentos ya vertidos al promover el incidente, sin rebatir de manera puntual y razonada el fundamento central del fallo, esto es, la omisión estructural de informar ingresos, evolución patrimonial del rodeo y resultado económico de la administración ejercida.</w:t>
      </w:r>
    </w:p>
    <w:p>
      <w:pPr>
        <w:pStyle w:val="[Normal]"/>
        <w:spacing w:line="360" w:lineRule="auto"/>
        <w:ind w:firstLine="1134"/>
        <w:jc w:val="both"/>
        <w:rPr>
          <w:lang w:val="es-AR" w:eastAsia="es-AR" w:bidi="es-AR"/>
        </w:rPr>
      </w:pPr>
      <w:r>
        <w:rPr>
          <w:lang w:val="es-AR" w:eastAsia="es-AR" w:bidi="es-AR"/>
        </w:rPr>
        <w:t xml:space="preserve">La crítica no identifica error jurídico concreto en el estándar aplicado por el juzgado ni demuestra absurdo en la valoración probatoria efectuada, sino que expresa una discrepancia con la solución adoptada, limitándose en buena medida a reiterar la postura sostenida en la instancia anterior, lo que debilita su eficacia recursiva en los términos del art. 260 del CPCC.</w:t>
      </w:r>
    </w:p>
    <w:p>
      <w:pPr>
        <w:pStyle w:val="[Normal]"/>
        <w:spacing w:line="360" w:lineRule="auto"/>
        <w:ind w:firstLine="1134"/>
        <w:jc w:val="both"/>
        <w:rPr>
          <w:lang w:val="es-AR" w:eastAsia="es-AR" w:bidi="es-AR"/>
        </w:rPr>
      </w:pPr>
      <w:r>
        <w:rPr>
          <w:lang w:val="es-AR" w:eastAsia="es-AR" w:bidi="es-AR"/>
        </w:rPr>
        <w:t xml:space="preserve">No obstante ello, y a fin de asegurar una revisión amplia compatible con las garantías de tutela judicial efectiva y derecho de defensa en juicio, corresponde ingresar al tratamiento de los agravios.</w:t>
      </w:r>
    </w:p>
    <w:p>
      <w:pPr>
        <w:pStyle w:val="[Normal]"/>
        <w:spacing w:line="360" w:lineRule="auto"/>
        <w:ind w:firstLine="1134"/>
        <w:jc w:val="both"/>
        <w:rPr>
          <w:b/>
          <w:lang w:val="es-AR" w:eastAsia="es-AR" w:bidi="es-AR"/>
        </w:rPr>
      </w:pPr>
      <w:r>
        <w:rPr>
          <w:lang w:val="es-AR" w:eastAsia="es-AR" w:bidi="es-AR"/>
        </w:rPr>
        <w:t xml:space="preserve">El eje decisorio de la sentencia apelada radicó en considerar que la rendición presentada no cumplía con los recaudos propios del instituto, por cuanto se limitó a detallar egresos (impuestos, servicios, mantenimiento y gastos veterinarios), omitiendo toda referencia a eventuales ingresos derivados del establecimiento rural integrante del acervo o, al menos, a la evolución patrimonial del rodeo (stock inicial y final, nacimientos, bajas, ventas, mortandad), así como a constancias fiscales o bancarias que permitieran verificar la inexistencia de operaciones.</w:t>
      </w:r>
    </w:p>
    <w:p>
      <w:pPr>
        <w:pStyle w:val="[Normal]"/>
        <w:spacing w:line="360" w:lineRule="auto"/>
        <w:ind w:firstLine="1134"/>
        <w:jc w:val="both"/>
        <w:rPr>
          <w:lang w:val="es-AR" w:eastAsia="es-AR" w:bidi="es-AR"/>
        </w:rPr>
      </w:pPr>
      <w:r>
        <w:rPr>
          <w:lang w:val="es-AR" w:eastAsia="es-AR" w:bidi="es-AR"/>
        </w:rPr>
        <w:t xml:space="preserve">La rendición de cuentas debe ser un informe amplio, informativo y descriptivo, debidamente documentado, pues se deben acompañar los comprobantes originales y copia o mención precisa de las partes pertinentes de sus libros, exponiendo ordenadamente los ingresos y egresos con los comprobantes respectivos. Debe contener todos los detalles y explicaciones de la gestión realizada y de sus resultados, dando a conocer paso por paso el contenido de la pertinente liquidación, y no debe limitarse sólo a fórmulas de carácter matemático o contable o a una exposición sinóptica; se deben explicitar cada una de las partidas y hacer referencia concreta a cada uno de los documentos que las respaldan. El administrador del sucesorio debe velar por la integridad del patrimonio relicto y llevar un control de todo los bienes que lo componen, debiendo detallarse no sólo los gastos que debieron solventarse sino también todas las sumas que ingresan al acervo y que pertenecen a todos los herederos (arts. 859, 2355 y ccs del CCCN, 649 CPCC). (cfr. Cám. de Apel. en lo Civil y Comercial de Mar del Plata, Sala II, Causa 177.782, RR 516/23 del 22/09/2023,</w:t>
      </w:r>
      <w:r>
        <w:rPr>
          <w:b/>
          <w:lang w:val="es-AR" w:eastAsia="es-AR" w:bidi="es-AR"/>
        </w:rPr>
        <w:t xml:space="preserve"> </w:t>
      </w:r>
      <w:r>
        <w:rPr>
          <w:lang w:val="es-AR" w:eastAsia="es-AR" w:bidi="es-AR"/>
        </w:rPr>
        <w:t xml:space="preserve">JUBA B5093434 y B5093435)</w:t>
      </w:r>
    </w:p>
    <w:p>
      <w:pPr>
        <w:pStyle w:val="[Normal]"/>
        <w:spacing w:line="360" w:lineRule="auto"/>
        <w:ind w:firstLine="1134"/>
        <w:jc w:val="both"/>
        <w:rPr>
          <w:lang w:val="es-AR" w:eastAsia="es-AR" w:bidi="es-AR"/>
        </w:rPr>
      </w:pPr>
      <w:r>
        <w:rPr>
          <w:lang w:val="es-AR" w:eastAsia="es-AR" w:bidi="es-AR"/>
        </w:rPr>
        <w:t xml:space="preserve">La exigencia de integridad no constituye un rigorismo formal, sino una derivación del principio de transparencia en la gestión de bienes comunes y del derecho de las restantes personas coherederas a conocer el resultado económico de la administración.</w:t>
      </w:r>
    </w:p>
    <w:p>
      <w:pPr>
        <w:pStyle w:val="[Normal]"/>
        <w:spacing w:line="360" w:lineRule="auto"/>
        <w:ind w:firstLine="1134"/>
        <w:jc w:val="both"/>
        <w:rPr>
          <w:lang w:val="es-AR" w:eastAsia="es-AR" w:bidi="es-AR"/>
        </w:rPr>
      </w:pPr>
      <w:r>
        <w:rPr>
          <w:lang w:val="es-AR" w:eastAsia="es-AR" w:bidi="es-AR"/>
        </w:rPr>
        <w:t xml:space="preserve">En el caso, la propia actora reconoció haber ejercido la administración de hecho del acervo durante un extenso período (2012–2023), comprendiendo dentro de los bienes administrados un establecimiento rural con rodeo bovino.</w:t>
      </w:r>
    </w:p>
    <w:p>
      <w:pPr>
        <w:pStyle w:val="[Normal]"/>
        <w:spacing w:line="360" w:lineRule="auto"/>
        <w:ind w:firstLine="1134"/>
        <w:jc w:val="both"/>
        <w:rPr>
          <w:lang w:val="es-AR" w:eastAsia="es-AR" w:bidi="es-AR"/>
        </w:rPr>
      </w:pPr>
      <w:r>
        <w:rPr>
          <w:lang w:val="es-AR" w:eastAsia="es-AR" w:bidi="es-AR"/>
        </w:rPr>
        <w:t xml:space="preserve">Sin embargo, la presentación efectuada se limitó a detallar erogaciones en concepto de impuestos, servicios, mantenimiento y gastos veterinarios, omitiendo toda referencia a ingresos derivados de la explotación ganadera o, al menos, a la evolución patrimonial del rodeo (stock inicial y final, nacimientos, bajas, ventas, mortandad), así como a constancias fiscales o bancarias que permitieran verificar la inexistencia de operaciones lucrativas.</w:t>
      </w:r>
    </w:p>
    <w:p>
      <w:pPr>
        <w:pStyle w:val="[Normal]"/>
        <w:spacing w:line="360" w:lineRule="auto"/>
        <w:ind w:firstLine="1134"/>
        <w:jc w:val="both"/>
        <w:rPr>
          <w:lang w:val="es-AR" w:eastAsia="es-AR" w:bidi="es-AR"/>
        </w:rPr>
      </w:pPr>
      <w:r>
        <w:rPr>
          <w:lang w:val="es-AR" w:eastAsia="es-AR" w:bidi="es-AR"/>
        </w:rPr>
        <w:t xml:space="preserve">No obsta a ello la invocación de que la gestión se habría limitado a actos conservatorios en los términos del art. 747 CPCC. Aún bajo tal encuadre, la obligación de rendir cuentas comprende la totalidad de los movimientos patrimoniales producidos durante la administración.</w:t>
      </w:r>
    </w:p>
    <w:p>
      <w:pPr>
        <w:pStyle w:val="[Normal]"/>
        <w:spacing w:line="360" w:lineRule="auto"/>
        <w:ind w:firstLine="1134"/>
        <w:jc w:val="both"/>
        <w:rPr>
          <w:lang w:val="es-AR" w:eastAsia="es-AR" w:bidi="es-AR"/>
        </w:rPr>
      </w:pPr>
      <w:r>
        <w:rPr>
          <w:lang w:val="es-AR" w:eastAsia="es-AR" w:bidi="es-AR"/>
        </w:rPr>
        <w:t xml:space="preserve">Si no existieron ingresos, ello debió acreditarse con claridad, mediante datos objetivos y documentación idónea que permitieran corroborar la inexistencia de actividad económica o de resultados patrimoniales positivos. </w:t>
      </w:r>
    </w:p>
    <w:p>
      <w:pPr>
        <w:pStyle w:val="[Normal]"/>
        <w:spacing w:line="360" w:lineRule="auto"/>
        <w:ind w:firstLine="1134"/>
        <w:jc w:val="both"/>
        <w:rPr>
          <w:lang w:val="es-AR" w:eastAsia="es-AR" w:bidi="es-AR"/>
        </w:rPr>
      </w:pPr>
      <w:r>
        <w:rPr>
          <w:lang w:val="es-AR" w:eastAsia="es-AR" w:bidi="es-AR"/>
        </w:rPr>
        <w:t xml:space="preserve">La omisión absoluta de tales datos torna objetivamente incompleta la rendición presentada, pues impide verificar la real situación económica de los bienes administrados durante el período invocado.</w:t>
      </w:r>
    </w:p>
    <w:p>
      <w:pPr>
        <w:pStyle w:val="[Normal]"/>
        <w:spacing w:line="360" w:lineRule="auto"/>
        <w:ind w:firstLine="1134"/>
        <w:jc w:val="both"/>
        <w:rPr>
          <w:lang w:val="es-AR" w:eastAsia="es-AR" w:bidi="es-AR"/>
        </w:rPr>
      </w:pPr>
      <w:r>
        <w:rPr>
          <w:lang w:val="es-AR" w:eastAsia="es-AR" w:bidi="es-AR"/>
        </w:rPr>
        <w:t xml:space="preserve">El reconocimiento parcial de determinados gastos por parte de la demandada no altera dicha conclusión. La rendición de cuentas constituye un acto procesal de contenido integral cuya aprobación requiere que la exposición global resulte completa y verificable. La admisión de rubros aislados no suple la omisión estructural relativa a los ingresos y saldos, ni impone la aprobación parcial cuando el conjunto carece de los recaudos esenciales. Ello sin perjuicio de que los gastos eventualmente reconocidos puedan ser reclamados por la vía pertinente si correspondiere, lo que no convierte en aprobable una rendición globalmente defectuosa.</w:t>
      </w:r>
    </w:p>
    <w:p>
      <w:pPr>
        <w:pStyle w:val="[Normal]"/>
        <w:spacing w:line="360" w:lineRule="auto"/>
        <w:ind w:firstLine="1134"/>
        <w:jc w:val="both"/>
        <w:rPr>
          <w:lang w:val="es-AR" w:eastAsia="es-AR" w:bidi="es-AR"/>
        </w:rPr>
      </w:pPr>
      <w:r>
        <w:rPr>
          <w:lang w:val="es-AR" w:eastAsia="es-AR" w:bidi="es-AR"/>
        </w:rPr>
        <w:t xml:space="preserve">Tampoco se advierte absurdo ni violación de las reglas de la sana crítica en la valoración probatoria efectuada por el juzgado de origen. Sin perjuicio de las declaraciones testimoniales ponderadas en la instancia anterior, lo cierto es que aún prescindiendo de ellas la insuficiencia estructural de la rendición presentada resulta evidente por la omisión de datos esenciales relativos a ingresos, saldos y evolución patrimonial de los bienes administrados. Las discrepancias formuladas en el memorial se limitan a expresar una interpretación diversa de la prueba, sin demostrar error manifiesto o ilogicidad en el razonamiento judicial.</w:t>
      </w:r>
    </w:p>
    <w:p>
      <w:pPr>
        <w:pStyle w:val="[Normal]"/>
        <w:spacing w:line="360" w:lineRule="auto"/>
        <w:ind w:firstLine="1134"/>
        <w:jc w:val="both"/>
        <w:rPr>
          <w:lang w:val="es-AR" w:eastAsia="es-AR" w:bidi="es-AR"/>
        </w:rPr>
      </w:pPr>
      <w:r>
        <w:rPr>
          <w:lang w:val="es-AR" w:eastAsia="es-AR" w:bidi="es-AR"/>
        </w:rPr>
        <w:t xml:space="preserve">En cuanto a las costas, no se configura en el caso un vencimiento recíproco sustancial que habilite apartarse del principio objetivo de la derrota (art. 68 CPCC). La pretensión principal —aprobación de la rendición y condena al reintegro proporcional— fue íntegramente rechazada. El eventual reconocimiento de algunos gastos no modifica el resultado global adverso a la accionante.</w:t>
      </w:r>
    </w:p>
    <w:p>
      <w:pPr>
        <w:pStyle w:val="[Normal]"/>
        <w:spacing w:line="360" w:lineRule="auto"/>
        <w:ind w:firstLine="1134"/>
        <w:jc w:val="both"/>
        <w:rPr>
          <w:lang w:val="es-AR" w:eastAsia="es-AR" w:bidi="es-AR"/>
        </w:rPr>
      </w:pPr>
      <w:r>
        <w:rPr>
          <w:lang w:val="es-AR" w:eastAsia="es-AR" w:bidi="es-AR"/>
        </w:rPr>
        <w:t xml:space="preserve">En consecuencia, corresponde concluir que la rendición presentada no cumplió con los recaudos legales exigibles, y que la decisión de rechazarla en forma íntegra se ajusta a derecho.</w:t>
      </w:r>
    </w:p>
    <w:p>
      <w:pPr>
        <w:pStyle w:val="[Normal]"/>
        <w:spacing w:line="360" w:lineRule="auto"/>
        <w:ind w:firstLine="1134"/>
        <w:jc w:val="both"/>
        <w:rPr>
          <w:lang w:val="es-AR" w:eastAsia="es-AR" w:bidi="es-AR"/>
        </w:rPr>
      </w:pPr>
      <w:r>
        <w:rPr>
          <w:lang w:val="es-AR" w:eastAsia="es-AR" w:bidi="es-AR"/>
        </w:rPr>
        <w:t xml:space="preserve">El pronunciamiento de grado se encuentra debidamente fundado en constancias objetivas de la causa, aplica correctamente la normativa sustancial y procesal pertinente y no configura supuesto de arbitrariedad ni de apartamiento palmario de las reglas de la sana crítica, por lo que no se advierte vulneración de las garantías constitucionales invocadas.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consecuencia confirmar la sentencia apelada en todas sus partes, con costas de Alzada a la recurrente vencida (art. 68 CPCC), difiriéndose la regulación de honorarios de alzada para su oportunidad.</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y en consecuencia confirmar la sentencia apelada en todas sus partes, con costas de Alzada a la recurrente vencida (art. 68 CPCC), difiriéndose la regulación de honorarios de alzada para su oportunidad.</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10:13:43 -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10:37:40 -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12:16:19 -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‰8[")è&amp;kd9jŠ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245902090006756825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10/03/2026 12:16:35 hs. bajo el número RS-23-2026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