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5895-25</w:t>
      </w:r>
      <w:r>
        <w:rPr>
          <w:lang w:val="es-AR" w:eastAsia="es-AR" w:bidi="es-AR"/>
        </w:rPr>
        <w:t xml:space="preserve"> caratulada </w:t>
      </w:r>
      <w:r>
        <w:rPr>
          <w:b/>
          <w:lang w:val="es-AR" w:eastAsia="es-AR" w:bidi="es-AR"/>
        </w:rPr>
        <w:t xml:space="preserve">"</w:t>
      </w:r>
      <w:r>
        <w:rPr>
          <w:b/>
          <w:color w:val="000000"/>
          <w:lang w:val="es-AR" w:eastAsia="es-AR" w:bidi="es-AR"/>
        </w:rPr>
        <w:t xml:space="preserve">TEIXIDO ELOISA Y OTRO C/ COOPERACION MUTUAL PATRONAL SMSG  S/ DAÑOS Y PERJ. INCUMP. CONTRACTUAL (EXC. ESTADO)</w:t>
      </w:r>
      <w:r>
        <w:rPr>
          <w:b/>
          <w:lang w:val="es-AR" w:eastAsia="es-AR" w:bidi="es-AR"/>
        </w:rPr>
        <w:t xml:space="preserve">"</w:t>
      </w:r>
      <w:r>
        <w:rPr>
          <w:lang w:val="es-AR" w:eastAsia="es-AR" w:bidi="es-AR"/>
        </w:rPr>
        <w:t xml:space="preserve">, Expte. N° 66820 del Juzgado Civil y Comercial N° 2</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anterior sede rechazó la demanda que instauraran Eloisa Teixidó y Luis Damián Gutierrez, por vía  de juicio sumario contra COOPERACION MUTUAL PATRONAL SMSG. Aplicó las costas a la parte actora vencida. Difirió la regulación de honorarios de  los letrados intervinientes  y  de  los  peritos.</w:t>
      </w:r>
    </w:p>
    <w:p>
      <w:pPr>
        <w:pStyle w:val="[Normal]"/>
        <w:spacing w:line="360" w:lineRule="auto"/>
        <w:ind w:firstLine="1134"/>
        <w:jc w:val="both"/>
        <w:rPr>
          <w:lang w:val="es-AR" w:eastAsia="es-AR" w:bidi="es-AR"/>
        </w:rPr>
      </w:pPr>
      <w:r>
        <w:rPr>
          <w:lang w:val="es-AR" w:eastAsia="es-AR" w:bidi="es-AR"/>
        </w:rPr>
        <w:t xml:space="preserve">Disconforme con lo decidido apela la parte actora el 23/10/2025, recurso concedido libremente el 30/10/2025, ordenándose su elevación, ingresa a este organismo en misma fecha, dándose vista el 4/11/2025 al agente fiscal quien la evacua el 6/11/2025. El 13/11/2025 se orden exprese agravios la recurrente, haciéndolo el 19/11/2025, conferido el traslado  a la contraparte es contestado el 27/11/2025, dictándose el auto para dictar sentencia el 2/12/2025, providencia que firme a la fecha deja la causa en condiciones de ser resuelta.</w:t>
      </w:r>
    </w:p>
    <w:p>
      <w:pPr>
        <w:pStyle w:val="[Normal]"/>
        <w:spacing w:line="360" w:lineRule="auto"/>
        <w:ind w:firstLine="1134"/>
        <w:jc w:val="both"/>
        <w:rPr>
          <w:lang w:val="es-AR" w:eastAsia="es-AR" w:bidi="es-AR"/>
        </w:rPr>
      </w:pPr>
    </w:p>
    <w:p>
      <w:pPr>
        <w:pStyle w:val="[Normal]"/>
        <w:spacing w:line="360" w:lineRule="auto"/>
        <w:jc w:val="both"/>
        <w:rPr>
          <w:color w:val="000000"/>
          <w:lang w:val="es-AR" w:eastAsia="es-AR" w:bidi="es-AR"/>
        </w:rPr>
      </w:pPr>
      <w:r>
        <w:rPr>
          <w:color w:val="000000"/>
          <w:lang w:val="es-AR" w:eastAsia="es-AR" w:bidi="es-AR"/>
        </w:rPr>
        <w:t xml:space="preserve"> 	En sustento de su crítica recursiva, exponen los siguientes puntos de agravio: 	</w:t>
        <w:br w:type="textWrapping"/>
      </w:r>
      <w:r>
        <w:rPr>
          <w:color w:val="000000"/>
          <w:lang w:val="es-AR" w:eastAsia="es-AR" w:bidi="es-AR"/>
        </w:rPr>
        <w:t xml:space="preserve"> 	1) Errónea valoración del incumplimiento contractual y aplicación del deber de información: Se sostiene que la sentencia de primera instancia desestima la existencia de incumplimiento contractual, sin considerar que la aseguradora celebró contrato con los actores siendo estos meros poseedores del vehículo, percibió las primas y omitió informar con claridad que la titularidad registral era requisito esencial para la cobertura. Tal omisión vulnera el deber de información, asesoramiento y buena fe (arts. 4 y 37 LDC, 961 CCCN), configurando una conducta abusiva y generando un enriquecimiento sin causa a favor de la aseguradora.</w:t>
      </w:r>
    </w:p>
    <w:p>
      <w:pPr>
        <w:pStyle w:val="[Normal]"/>
        <w:spacing w:line="360" w:lineRule="auto"/>
        <w:jc w:val="both"/>
        <w:rPr>
          <w:color w:val="000000"/>
          <w:lang w:val="es-AR" w:eastAsia="es-AR" w:bidi="es-AR"/>
        </w:rPr>
      </w:pPr>
      <w:r>
        <w:rPr>
          <w:color w:val="000000"/>
          <w:lang w:val="es-AR" w:eastAsia="es-AR" w:bidi="es-AR"/>
        </w:rPr>
        <w:t xml:space="preserve"> 	2) Violación del art. 56 de la Ley de Seguros por falta de pronunciamiento oportuno sobre el siniestro: Se agravia la falta de consideración del sentenciante sobre la inobservancia por parte de la aseguradora del plazo legal de treinta días para expedirse sobre la cobertura. Al no haber rechazado formalmente el siniestro en tiempo y forma ni haber probado un pedido fehaciente de información complementaria, opera el apercibimiento previsto en dicha norma, con la consecuente aceptación tácita de la garantía y la imposibilidad de oponer defensas extemporáneas.</w:t>
      </w:r>
    </w:p>
    <w:p>
      <w:pPr>
        <w:pStyle w:val="[Normal]"/>
        <w:spacing w:line="360" w:lineRule="auto"/>
        <w:jc w:val="both"/>
        <w:rPr>
          <w:color w:val="000000"/>
          <w:lang w:val="es-AR" w:eastAsia="es-AR" w:bidi="es-AR"/>
        </w:rPr>
      </w:pPr>
      <w:r>
        <w:rPr>
          <w:color w:val="000000"/>
          <w:lang w:val="es-AR" w:eastAsia="es-AR" w:bidi="es-AR"/>
        </w:rPr>
        <w:t xml:space="preserve"> 	3) Improcedencia del rechazo a la devolución de las sumas indebidamente debitadas: Los actores denuncian como agraviante que el juez haya rechazado la restitución de las primas cobradas, pese a que la aseguradora reconoció haber percibido los pagos mediante débito automático y no desconoció los resúmenes de tarjeta ofrecidos en demanda. Sostienen que, al no haberse brindado la cobertura convenida, tales cobros se tornan indebidos y deben ser restituidos para evitar un lucro sin causa por parte de la demandada.</w:t>
      </w:r>
    </w:p>
    <w:p>
      <w:pPr>
        <w:pStyle w:val="[Normal]"/>
        <w:spacing w:line="360" w:lineRule="auto"/>
        <w:jc w:val="both"/>
        <w:rPr>
          <w:color w:val="000000"/>
          <w:lang w:val="es-AR" w:eastAsia="es-AR" w:bidi="es-AR"/>
        </w:rPr>
      </w:pPr>
      <w:r>
        <w:rPr>
          <w:color w:val="000000"/>
          <w:lang w:val="es-AR" w:eastAsia="es-AR" w:bidi="es-AR"/>
        </w:rPr>
        <w:t xml:space="preserve"> 	A su turno, la parte demandada y citada en garantía plantea los siguiente puntos de agravio.</w:t>
      </w:r>
    </w:p>
    <w:p>
      <w:pPr>
        <w:pStyle w:val="[Normal]"/>
        <w:spacing w:line="360" w:lineRule="auto"/>
        <w:jc w:val="both"/>
        <w:rPr>
          <w:color w:val="000000"/>
          <w:lang w:val="es-AR" w:eastAsia="es-AR" w:bidi="es-AR"/>
        </w:rPr>
      </w:pPr>
      <w:r>
        <w:rPr>
          <w:color w:val="000000"/>
          <w:lang w:val="es-AR" w:eastAsia="es-AR" w:bidi="es-AR"/>
        </w:rPr>
        <w:t xml:space="preserve"> 	En relación al fondo de los agravios, la demandada sostiene que no se discutió en autos la existencia del contrato de seguro ni su vigencia. Sin embargo, la cobertura no se hizo efectiva por incumplimiento de la asegurada, quien no suscribió el Formulario 15 (cesión de derechos) ante el Registro Automotor, requisito esencial para proceder al pago del siniestro. Este incumplimiento, avalado por el informe pericial no impugnado, sería la causa legítima de la negativa de cobertura.</w:t>
      </w:r>
    </w:p>
    <w:p>
      <w:pPr>
        <w:pStyle w:val="[Normal]"/>
        <w:spacing w:line="360" w:lineRule="auto"/>
        <w:jc w:val="both"/>
        <w:rPr>
          <w:color w:val="000000"/>
          <w:lang w:val="es-AR" w:eastAsia="es-AR" w:bidi="es-AR"/>
        </w:rPr>
      </w:pPr>
      <w:r>
        <w:rPr>
          <w:color w:val="000000"/>
          <w:lang w:val="es-AR" w:eastAsia="es-AR" w:bidi="es-AR"/>
        </w:rPr>
        <w:t xml:space="preserve"> 	Asimismo, la demandada afirma que la actora tampoco acompañó la denuncia policial del robo ni cumplió con otros requisitos exigidos por la Resolución 30079/2004 de la Superintendencia de Seguros de la Nación. Resalta que la sentencia de primera instancia valoró correctamente la validez y necesidad del requisito contractual de cesión de derechos, descartando su carácter abusivo por tratarse de una obligación ética y necesaria en el marco del contrato de seguros.	</w:t>
        <w:br w:type="textWrapping"/>
      </w:r>
      <w:r>
        <w:rPr>
          <w:color w:val="000000"/>
          <w:lang w:val="es-AR" w:eastAsia="es-AR" w:bidi="es-AR"/>
        </w:rPr>
        <w:t xml:space="preserve"> 	También se refuta el agravio vinculado a la supuesta retención indebida de primas. La demandada sostiene que no hay prueba suficiente del pago de dichas sumas y que, por tanto, no procede su devolución. A su entender, la documental acompañada por la actora no acredita fehacientemente el débito de los montos reclamados ni su vinculación directa con la cobertura contratada.	</w:t>
        <w:br w:type="textWrapping"/>
      </w:r>
      <w:r>
        <w:rPr>
          <w:color w:val="000000"/>
          <w:lang w:val="es-AR" w:eastAsia="es-AR" w:bidi="es-AR"/>
        </w:rPr>
        <w:t xml:space="preserve"> 	Finalmente, la contestación concluye que la sentencia de primera instancia fue ajustada a derecho y debe confirmarse, ya que el rechazo de la demanda se basó en el incumplimiento de la propia actora, quien no acreditó siquiera la existencia del siniestro ni cumplió con las condiciones mínimas exigidas por la normativa vigente para la operatividad del seguro. Por todo ello, se solicita el rechazo de la apelación, con costas.</w:t>
      </w:r>
    </w:p>
    <w:p>
      <w:pPr>
        <w:pStyle w:val="[Normal]"/>
        <w:spacing w:line="360" w:lineRule="auto"/>
        <w:jc w:val="both"/>
        <w:rPr>
          <w:lang w:val="es-AR" w:eastAsia="es-AR" w:bidi="es-AR"/>
        </w:rPr>
      </w:pPr>
      <w:r>
        <w:rPr>
          <w:color w:val="000000"/>
          <w:lang w:val="es-AR" w:eastAsia="es-AR" w:bidi="es-AR"/>
        </w:rPr>
        <w:t xml:space="preserve"> 	Entrando a resolver, advierto que no existe </w:t>
      </w:r>
      <w:r>
        <w:rPr>
          <w:lang w:val="es-AR" w:eastAsia="es-AR" w:bidi="es-AR"/>
        </w:rPr>
        <w:t xml:space="preserve">contradicción entre las partes en cuanto al vínculo contractual habido entre ellas. En este sentido, la aseguradora demandada ha admitido haber celebrado con la Sra. Teixidó el contrato de seguros instrumentado en la póliza Nro. 307344634/00, asegurando el automóvil marca Renault Clio 2 1.6, dominio EGW-213, entre otros riesgos, por robo. Aspectos que se respaldan en la constancia de cobertura de póliza Nro. 307344634/00, que allegara la actora con la demanda, como el contrato de seguros traído por la demandada en su contestación. Y ya en esta instancia revisora, en el consentimiento tácito de lo tenido por cierto en la sentencia apelada respecto a los extremos fácticos señalados.</w:t>
      </w:r>
    </w:p>
    <w:p>
      <w:pPr>
        <w:pStyle w:val="[Normal]"/>
        <w:spacing w:line="360" w:lineRule="auto"/>
        <w:jc w:val="both"/>
        <w:rPr>
          <w:lang w:val="es-AR" w:eastAsia="es-AR" w:bidi="es-AR"/>
        </w:rPr>
      </w:pPr>
      <w:r>
        <w:rPr>
          <w:lang w:val="es-AR" w:eastAsia="es-AR" w:bidi="es-AR"/>
        </w:rPr>
        <w:t xml:space="preserve"> 	Por su parte, mediante el informe pericial contable realizado por el Cdr. San Martin (ver P.E. del 08/03/24), se corrobora lo anterior. Manifestó el experto que: </w:t>
      </w:r>
      <w:r>
        <w:rPr>
          <w:i/>
          <w:lang w:val="es-AR" w:eastAsia="es-AR" w:bidi="es-AR"/>
        </w:rPr>
        <w:t xml:space="preserve">"... del análisis del Registro de Emisión de Pólizas, surge la existencia de la póliza N° 307344634/00, con vigencia desde el 14/02/2020 al 14/02/2021, a nombre de la Sra. Teixido, Eloísa, por el automóvil marca Renault modelo Clio 2 1.6 5 Ptas. Privilege, Dominio EGW-213, Año 2004."</w:t>
      </w:r>
      <w:r>
        <w:rPr>
          <w:lang w:val="es-AR" w:eastAsia="es-AR" w:bidi="es-AR"/>
        </w:rPr>
        <w:t xml:space="preserve">. Dicho informe no ha sido cuestionado en autos.</w:t>
      </w:r>
    </w:p>
    <w:p>
      <w:pPr>
        <w:pStyle w:val="[Normal]"/>
        <w:spacing w:line="360" w:lineRule="auto"/>
        <w:jc w:val="both"/>
        <w:rPr>
          <w:i/>
          <w:lang w:val="es-AR" w:eastAsia="es-AR" w:bidi="es-AR"/>
        </w:rPr>
      </w:pPr>
      <w:r>
        <w:rPr>
          <w:lang w:val="es-AR" w:eastAsia="es-AR" w:bidi="es-AR"/>
        </w:rPr>
        <w:t xml:space="preserve"> 	Que, en lo tocante al cumplimiento de las obligaciones asumidas por las partes en el contrato, el Sr. perito informó que: </w:t>
      </w:r>
      <w:r>
        <w:rPr>
          <w:i/>
          <w:lang w:val="es-AR" w:eastAsia="es-AR" w:bidi="es-AR"/>
        </w:rPr>
        <w:t xml:space="preserve">" ... según surge de la documentación examinada, aportada por la demandada, el riesgo no ha sido abonado por Cooperación Mutual Patronal, atento que la Asegurada no pudo cumplimentar la documentación requerida por la Aseguradora para avanzar con el pago del monto que se había acordado en fecha 28.09.2021: formulario 15 (Cesión de Derecho)  ante el Registro de Automotor competente; ...". Así, mediante el informe pericial que vengo citando, se ha acreditado que la parte actora incumplió la obligación a su cargo, consistente en suscribir a favor de la aseguradora: "Cesión de derechos a favor de la Aseguradora, mediante firma en Formulario Nº 15 provista por la misma, para su posterior inscripción en el Registro Nacional de la Propiedad del Automotor." </w:t>
      </w:r>
    </w:p>
    <w:p>
      <w:pPr>
        <w:pStyle w:val="[Normal]"/>
        <w:spacing w:line="360" w:lineRule="auto"/>
        <w:jc w:val="both"/>
        <w:rPr>
          <w:lang w:val="es-AR" w:eastAsia="es-AR" w:bidi="es-AR"/>
        </w:rPr>
      </w:pPr>
      <w:r>
        <w:rPr>
          <w:lang w:val="es-AR" w:eastAsia="es-AR" w:bidi="es-AR"/>
        </w:rPr>
        <w:t xml:space="preserve"> 	Así, y por medio de la prueba pericial que no ha sido cuestionada por las partes-, se probó en autos que la parte demandante no cumplió la obligación a su cargo y que tal obrar motivó que la demandada no abonara el </w:t>
      </w:r>
      <w:r>
        <w:rPr>
          <w:i/>
          <w:lang w:val="es-AR" w:eastAsia="es-AR" w:bidi="es-AR"/>
        </w:rPr>
        <w:t xml:space="preserve">"riesgo asegurado"</w:t>
      </w:r>
      <w:r>
        <w:rPr>
          <w:lang w:val="es-AR" w:eastAsia="es-AR" w:bidi="es-AR"/>
        </w:rPr>
        <w:t xml:space="preserve">.  </w:t>
      </w:r>
    </w:p>
    <w:p>
      <w:pPr>
        <w:pStyle w:val="[Normal]"/>
        <w:spacing w:line="360" w:lineRule="auto"/>
        <w:jc w:val="both"/>
        <w:rPr>
          <w:color w:val="000000"/>
          <w:lang w:val="es-AR" w:eastAsia="es-AR" w:bidi="es-AR"/>
        </w:rPr>
      </w:pPr>
      <w:r>
        <w:rPr>
          <w:color w:val="000000"/>
          <w:lang w:val="es-AR" w:eastAsia="es-AR" w:bidi="es-AR"/>
        </w:rPr>
        <w:t xml:space="preserve"> 	En virtud de lo expuesto, me hallo en condiciones de afirmar que la cuestión sometida a revisión finca en la determinación de la procedencia de la cobertura asegurativa contratada por la parte actora por incumplimiento de la carga del asegurado de suscribir el formulario 15 de cesión de derechos a favor de la aseguradora. Y, en particular, la determinación de la abusividad de la cláusula predispuesta que imponía a la accionante la obligación de suscribir el formulario mencionado.</w:t>
      </w:r>
    </w:p>
    <w:p>
      <w:pPr>
        <w:pStyle w:val="[Normal]"/>
        <w:spacing w:line="360" w:lineRule="auto"/>
        <w:jc w:val="both"/>
        <w:rPr>
          <w:i/>
          <w:lang w:val="es-AR" w:eastAsia="es-AR" w:bidi="es-AR"/>
        </w:rPr>
      </w:pPr>
      <w:r>
        <w:rPr>
          <w:color w:val="000000"/>
          <w:lang w:val="es-AR" w:eastAsia="es-AR" w:bidi="es-AR"/>
        </w:rPr>
        <w:t xml:space="preserve"> 	Sobre dicha base, pasaré a tratar los agravios vertidos por la parte actora adoptado una metodología consecuente con el orden de los aspectos críticos mencionados liminarmente. Recordando que, en punto a dicho cometido, la Corte bonaerense tiene dicho que: </w:t>
      </w:r>
      <w:r>
        <w:rPr>
          <w:i/>
          <w:color w:val="000000"/>
          <w:lang w:val="es-AR" w:eastAsia="es-AR" w:bidi="es-AR"/>
        </w:rPr>
        <w:t xml:space="preserve">"</w:t>
      </w:r>
      <w:r>
        <w:rPr>
          <w:i/>
          <w:lang w:val="es-AR" w:eastAsia="es-AR" w:bidi="es-AR"/>
        </w:rPr>
        <w:t xml:space="preserve">a fin de resolver las cuestiones sometidas a la consideración de la alzada por la vía recursiva, no es preciso que el Tribunal considere todos y cada uno de los planteos y argumentos esgrimidos por las partes, bastando que lo haga únicamente respecto de aquellos que resulten esenciales y decisivos para sustentar debidamente el fallo de la causa. En efecto, tal como lo ha establecido el más Alto Tribunal Federal, los jueces no están obligados a tratar todos y cada uno de los argumentos de las partes, sino solo aquellos que estimen pertinentes para la resolución del caso (Fallos: 278:271)".</w:t>
      </w:r>
    </w:p>
    <w:p>
      <w:pPr>
        <w:pStyle w:val="[Normal]"/>
        <w:spacing w:line="360" w:lineRule="auto"/>
        <w:jc w:val="both"/>
        <w:rPr>
          <w:color w:val="000000"/>
          <w:lang w:val="es-AR" w:eastAsia="es-AR" w:bidi="es-AR"/>
        </w:rPr>
      </w:pPr>
      <w:r>
        <w:rPr>
          <w:color w:val="000000"/>
          <w:lang w:val="es-AR" w:eastAsia="es-AR" w:bidi="es-AR"/>
        </w:rPr>
        <w:t xml:space="preserve"> 	I.- En cuanto al primer agravio, la queja se estructura sobre la idea de que la aseguradora habría contratado con los actores </w:t>
      </w:r>
      <w:r>
        <w:rPr>
          <w:i/>
          <w:color w:val="000000"/>
          <w:lang w:val="es-AR" w:eastAsia="es-AR" w:bidi="es-AR"/>
        </w:rPr>
        <w:t xml:space="preserve">“como meros poseedores”</w:t>
      </w:r>
      <w:r>
        <w:rPr>
          <w:color w:val="000000"/>
          <w:lang w:val="es-AR" w:eastAsia="es-AR" w:bidi="es-AR"/>
        </w:rPr>
        <w:t xml:space="preserve">, cobrado primas y omitido advertir que la titularidad registral era recaudo esencial, con afectación del deber de información y la buena fe, y con un resultado asimilable a un enriquecimiento sin causa.	</w:t>
        <w:br w:type="textWrapping"/>
      </w:r>
      <w:r>
        <w:rPr>
          <w:color w:val="000000"/>
          <w:lang w:val="es-AR" w:eastAsia="es-AR" w:bidi="es-AR"/>
        </w:rPr>
        <w:t xml:space="preserve"> 	Sin embargo, las constancias disponibles no acompañan esa premisa fáctica de “omisión informativa”. En el propio frente de póliza se incorporó en forma destacada la advertencia relativa a “TITULARIDAD DEL DOMINIO”, estableciendo que la cobertura de casco (daño, incendio, robo o hurto) </w:t>
      </w:r>
      <w:r>
        <w:rPr>
          <w:i/>
          <w:color w:val="000000"/>
          <w:lang w:val="es-AR" w:eastAsia="es-AR" w:bidi="es-AR"/>
        </w:rPr>
        <w:t xml:space="preserve">“no se hará efectiva”</w:t>
      </w:r>
      <w:r>
        <w:rPr>
          <w:color w:val="000000"/>
          <w:lang w:val="es-AR" w:eastAsia="es-AR" w:bidi="es-AR"/>
        </w:rPr>
        <w:t xml:space="preserve"> si el vehículo no se encuentra registrado a nombre del asegurado, hasta tanto se acredite la transferencia registral a su favor o se obtenga conformidad expresa del titular del dominio para percibir la indemnización. A su vez, en las condiciones se reproduce la cláusula CA–CO 1.1 y se aclara que esa cobertura “sólo tendrá validez cuando se consigne en el Frente de Póliza, en forma destacada” la advertencia transcripta, extremo que aquí aparece cumplido.</w:t>
      </w:r>
    </w:p>
    <w:p>
      <w:pPr>
        <w:pStyle w:val="[Normal]"/>
        <w:spacing w:line="360" w:lineRule="auto"/>
        <w:jc w:val="both"/>
        <w:rPr>
          <w:color w:val="000000"/>
          <w:lang w:val="es-AR" w:eastAsia="es-AR" w:bidi="es-AR"/>
        </w:rPr>
      </w:pPr>
      <w:r>
        <w:rPr>
          <w:color w:val="000000"/>
          <w:lang w:val="es-AR" w:eastAsia="es-AR" w:bidi="es-AR"/>
        </w:rPr>
        <w:t xml:space="preserve"> 	En ese marco, la línea jurisprudencial citada por la apelante -que reputa abusiva o inoponible la exigencia de acreditar titularidad cuando no fue advertida al contratar- pierde fuerza en el caso, precisamente porque la advertencia sí surge del instrumento contractual aportado. Así, el reproche de violación del art. 4 de la LDC y del art. 961 CCyC queda desprovisto del principal sustento: no se verifica, con las constancias agregadas, un déficit de información sobre ese punto en particular.</w:t>
      </w:r>
    </w:p>
    <w:p>
      <w:pPr>
        <w:pStyle w:val="[Normal]"/>
        <w:spacing w:line="360" w:lineRule="auto"/>
        <w:jc w:val="both"/>
        <w:rPr>
          <w:color w:val="000000"/>
          <w:lang w:val="es-AR" w:eastAsia="es-AR" w:bidi="es-AR"/>
        </w:rPr>
      </w:pPr>
      <w:r>
        <w:rPr>
          <w:color w:val="000000"/>
          <w:lang w:val="es-AR" w:eastAsia="es-AR" w:bidi="es-AR"/>
        </w:rPr>
        <w:t xml:space="preserve"> 	Asimismo, no se desprende de los propios escritos de la actora, un relato fáctico inequívoco en el sentido de que la aseguradora hubiera conocido al contratar la falta de titularidad registral de los actores. Antes bien, la demanda presenta una argumentación alternativa: por un lado, afirma que el Sr. Gutiérrez era titular registral y que la Sra. Teixidó contrató la cobertura; y, por otro, invoca bases de legitimación asociadas a la posesión o tenencia. Esa construcción revela que la cuestión dominial fue un eje litigioso del caso, pero esa sola circunstancia no alcanza para tener por acreditado, sin otras constancias, el conocimiento efectivo del asegurador al tiempo de la contratación.</w:t>
      </w:r>
    </w:p>
    <w:p>
      <w:pPr>
        <w:pStyle w:val="[Normal]"/>
        <w:spacing w:line="360" w:lineRule="auto"/>
        <w:jc w:val="both"/>
        <w:rPr>
          <w:color w:val="000000"/>
          <w:lang w:val="es-AR" w:eastAsia="es-AR" w:bidi="es-AR"/>
        </w:rPr>
      </w:pPr>
      <w:r>
        <w:rPr>
          <w:color w:val="000000"/>
          <w:lang w:val="es-AR" w:eastAsia="es-AR" w:bidi="es-AR"/>
        </w:rPr>
        <w:t xml:space="preserve"> 	En consecuencia, en lo que hace al deber de información específicamente endilgado en este agravio (titularidad registral como condición para la efectividad de la cobertura de casco), no se advierte el error de juzgamiento denunciado: la exigencia se encontraba advertida en la póliza de modo expreso y destacado, de modo que no puede tenerse por configurada, con el cuadro documental disponible, una conducta omisiva o sorpresiva del proveedor en los términos propuestos por la apelante.</w:t>
      </w:r>
    </w:p>
    <w:p>
      <w:pPr>
        <w:pStyle w:val="[Normal]"/>
        <w:spacing w:line="360" w:lineRule="auto"/>
        <w:jc w:val="both"/>
        <w:rPr>
          <w:color w:val="000000"/>
          <w:lang w:val="es-AR" w:eastAsia="es-AR" w:bidi="es-AR"/>
        </w:rPr>
      </w:pPr>
      <w:r>
        <w:rPr>
          <w:color w:val="000000"/>
          <w:lang w:val="es-AR" w:eastAsia="es-AR" w:bidi="es-AR"/>
        </w:rPr>
        <w:t xml:space="preserve"> 	II.- El segundo agravio cuestiona que la sentencia no habría tratado la operatividad del art. 56 de la Ley 17.418, pese a que la actora alegó que la aseguradora nunca se expidió sobre la aceptación o el rechazo del siniestro y que, por ende, debía operar el apercibimiento legal. En esa línea, sostiene que la falta de pronunciamiento en término importa aceptación tácita de la cobertura y veda la introducción posterior de defensas liberatorias.</w:t>
      </w:r>
    </w:p>
    <w:p>
      <w:pPr>
        <w:pStyle w:val="[Normal]"/>
        <w:spacing w:line="360" w:lineRule="auto"/>
        <w:jc w:val="both"/>
        <w:rPr>
          <w:color w:val="000000"/>
          <w:lang w:val="es-AR" w:eastAsia="es-AR" w:bidi="es-AR"/>
        </w:rPr>
      </w:pPr>
      <w:r>
        <w:rPr>
          <w:color w:val="000000"/>
          <w:lang w:val="es-AR" w:eastAsia="es-AR" w:bidi="es-AR"/>
        </w:rPr>
        <w:t xml:space="preserve"> 	Sentado ello, corresponde recordar que el art. 56 LS impone al asegurador el deber de pronunciarse sobre el derecho del asegurado dentro del plazo legal, cuyo cómputo se vincula con la denuncia y, en su caso, con la recepción de la información complementaria prevista en el art. 46; y que, vencido el plazo sin comunicación fehaciente, el silencio se ha interpretado como aceptación del siniestro, con la consecuencia de impedir luego la invocación de defensas destinadas a declinar la cobertura.</w:t>
      </w:r>
    </w:p>
    <w:p>
      <w:pPr>
        <w:pStyle w:val="[Normal]"/>
        <w:spacing w:line="360" w:lineRule="auto"/>
        <w:jc w:val="both"/>
        <w:rPr>
          <w:color w:val="000000"/>
          <w:lang w:val="es-AR" w:eastAsia="es-AR" w:bidi="es-AR"/>
        </w:rPr>
      </w:pPr>
      <w:r>
        <w:rPr>
          <w:color w:val="000000"/>
          <w:lang w:val="es-AR" w:eastAsia="es-AR" w:bidi="es-AR"/>
        </w:rPr>
        <w:t xml:space="preserve"> 	Ahora bien, al confrontar esa regla con las constancias disponibles, se advierte que en el expediente obra una denuncia de siniestro en la que consta fecha del hecho (01/11/2020 03:30) y fecha de carga (01/11/2020 10:12), individualizándose la póliza 307344634/00. En cambio, en los extractos consultables no aparece incorporada una comunicación fehaciente de rechazo emitida dentro de los treinta días, ni tampoco un requerimiento fehaciente de información complementaria que permita tener por suspendido o diferido el inicio del cómputo del plazo (extremo que, además, integra la plataforma argumental de la propia queja actoral, al afirmar que la aseguradora </w:t>
      </w:r>
      <w:r>
        <w:rPr>
          <w:i/>
          <w:color w:val="000000"/>
          <w:lang w:val="es-AR" w:eastAsia="es-AR" w:bidi="es-AR"/>
        </w:rPr>
        <w:t xml:space="preserve">“jamás se expidió”</w:t>
      </w:r>
      <w:r>
        <w:rPr>
          <w:color w:val="000000"/>
          <w:lang w:val="es-AR" w:eastAsia="es-AR" w:bidi="es-AR"/>
        </w:rPr>
        <w:t xml:space="preserve">).</w:t>
      </w:r>
    </w:p>
    <w:p>
      <w:pPr>
        <w:pStyle w:val="[Normal]"/>
        <w:spacing w:line="360" w:lineRule="auto"/>
        <w:jc w:val="both"/>
        <w:rPr>
          <w:color w:val="000000"/>
          <w:lang w:val="es-AR" w:eastAsia="es-AR" w:bidi="es-AR"/>
        </w:rPr>
      </w:pPr>
      <w:r>
        <w:rPr>
          <w:color w:val="000000"/>
          <w:lang w:val="es-AR" w:eastAsia="es-AR" w:bidi="es-AR"/>
        </w:rPr>
        <w:t xml:space="preserve"> 	En ese marco, y siempre según las constancias disponibles, el agravio exhibe verosimilitud: si no se acredita el pronunciamiento tempestivo ni el requerimiento fehaciente de información complementaria en los términos del art. 46 LS, la defensa posterior basada en incumplimientos documentales del asegurado no puede operar como fundamento para declinar la cobertura, por quedar alcanzada por la preclusión propia del art. 56 LS. Ello no implica negar que, una vez admitida la cobertura, puedan exigirse recaudos instrumentales razonables para instrumentar el pago y la subrogación/cesión, pero sí impide utilizar la falta de tales recaudos, introducida extemporáneamente, como razón para desconocer el derecho indemnizatorio en su base.</w:t>
      </w:r>
    </w:p>
    <w:p>
      <w:pPr>
        <w:pStyle w:val="[Normal]"/>
        <w:spacing w:line="360" w:lineRule="auto"/>
        <w:jc w:val="both"/>
        <w:rPr>
          <w:lang w:val="es-AR" w:eastAsia="es-AR" w:bidi="es-AR"/>
        </w:rPr>
      </w:pPr>
      <w:r>
        <w:rPr>
          <w:color w:val="000000"/>
          <w:lang w:val="es-AR" w:eastAsia="es-AR" w:bidi="es-AR"/>
        </w:rPr>
        <w:t xml:space="preserve"> 	</w:t>
      </w:r>
      <w:r>
        <w:rPr>
          <w:lang w:val="es-AR" w:eastAsia="es-AR" w:bidi="es-AR"/>
        </w:rPr>
        <w:t xml:space="preserve">En este sentido ha resuelto nuestro Máximo Tribunal de Provincia que: “</w:t>
      </w:r>
      <w:r>
        <w:rPr>
          <w:i/>
          <w:lang w:val="es-AR" w:eastAsia="es-AR" w:bidi="es-AR"/>
        </w:rPr>
        <w:t xml:space="preserve">Una vez denunciado el siniestro, la aseguradora debe pronunciarse acerca del derecho que le asiste al asegurado (arts. 46 y 56, ley 17.418) dentro del plazo de treinta días de recibida la denuncia o la información complementaria. La omisión de tal comunicación importa la aceptación del siniestro e impide luego invocar en juicio circunstancias que obstaculicen el derecho del asegurado. Aquel debe notificarse en el domicilio declarado en el contrato de seguro (art. 16, ley 17.418), a través del envío de una carta documento o bien un acta notarial (por ejemplo), que den constancia de la "recepción" por el asegurado.</w:t>
      </w:r>
      <w:r>
        <w:rPr>
          <w:lang w:val="es-AR" w:eastAsia="es-AR" w:bidi="es-AR"/>
        </w:rPr>
        <w:t xml:space="preserve">” (SCBA, C 116847 S 04/03/2015; esta Sala III, </w:t>
      </w:r>
      <w:r>
        <w:rPr>
          <w:i/>
          <w:lang w:val="es-AR" w:eastAsia="es-AR" w:bidi="es-AR"/>
        </w:rPr>
        <w:t xml:space="preserve">“Locaso, Carla c/ Menéndez, Julio Alberto y otro s/ Daños y Perjuicios” – Expte.N°148.792, sent. del 29/02/2012</w:t>
      </w:r>
      <w:r>
        <w:rPr>
          <w:lang w:val="es-AR" w:eastAsia="es-AR" w:bidi="es-AR"/>
        </w:rPr>
        <w:t xml:space="preserve">). 	</w:t>
        <w:br w:type="textWrapping"/>
      </w:r>
      <w:r>
        <w:rPr>
          <w:lang w:val="es-AR" w:eastAsia="es-AR" w:bidi="es-AR"/>
        </w:rPr>
        <w:t xml:space="preserve"> 	La jurisprudencia provincial también ha resuelto que: “…</w:t>
      </w:r>
      <w:r>
        <w:rPr>
          <w:i/>
          <w:lang w:val="es-AR" w:eastAsia="es-AR" w:bidi="es-AR"/>
        </w:rPr>
        <w:t xml:space="preserve">vencido dicho plazo y no habiendo formulado el asegurador pronunciamiento alguno, su silencio importa aceptación conforme la última parte del art. 56 de la ley 17.418, tratándose de una carga del asegurador que debe ejercitarse en forma perentoria y cuya inobservancia importa un reconocimiento del aludido derecho y la imposibilidad de allí en más de invocar defensas. En otras palabras, vencido el plazo de treinta días sin que la aseguradora haya hecho saber el rechazo de su responsabilidad, incurre en mora conforme los arts. 56 y 15 de la LS, lo que implica la aceptación tácita de la garantía comprometida y la imposibilidad de alegar cualquier defensa, aunque la misma se encuentre justificada, que obste el cumplimiento de la obligación principal.</w:t>
      </w:r>
      <w:r>
        <w:rPr>
          <w:lang w:val="es-AR" w:eastAsia="es-AR" w:bidi="es-AR"/>
        </w:rPr>
        <w:t xml:space="preserve">” (CC0100 SN 11801 S 20/10/2015). </w:t>
      </w:r>
    </w:p>
    <w:p>
      <w:pPr>
        <w:pStyle w:val="[Normal]"/>
        <w:spacing w:line="360" w:lineRule="auto"/>
        <w:jc w:val="both"/>
        <w:rPr>
          <w:lang w:val="es-AR" w:eastAsia="es-AR" w:bidi="es-AR"/>
        </w:rPr>
      </w:pPr>
      <w:r>
        <w:rPr>
          <w:lang w:val="es-AR" w:eastAsia="es-AR" w:bidi="es-AR"/>
        </w:rPr>
        <w:t xml:space="preserve"> 	A partir de lo expuesto, es dable concluir que si la demandada entendía que la procedencia de la cobertura estaba condicionada a la entrega de la documentación de referencia debió haber informado esa circunstancia al asegurado en el plazo de referencia (30 días) o cuanto menos justificar las razones que motivaron un requerimiento tardío de dicha información (por ejemplo, si se tratase de datos que recién se tornaron necesarios con posterioridad al plazo de referencia). </w:t>
      </w:r>
    </w:p>
    <w:p>
      <w:pPr>
        <w:pStyle w:val="[Normal]"/>
        <w:spacing w:line="360" w:lineRule="auto"/>
        <w:jc w:val="both"/>
        <w:rPr>
          <w:lang w:val="es-AR" w:eastAsia="es-AR" w:bidi="es-AR"/>
        </w:rPr>
      </w:pPr>
      <w:r>
        <w:rPr>
          <w:lang w:val="es-AR" w:eastAsia="es-AR" w:bidi="es-AR"/>
        </w:rPr>
        <w:t xml:space="preserve"> 	En su defensa, la aseguradora afirma que la documentación fue oportunamente requerida. Empero, de la prueba documental válidamente integrada al proceso no surge que se le haya requerido a la parte actora la información de referencia. </w:t>
      </w:r>
    </w:p>
    <w:p>
      <w:pPr>
        <w:pStyle w:val="[Normal]"/>
        <w:spacing w:line="360" w:lineRule="auto"/>
        <w:jc w:val="both"/>
        <w:rPr>
          <w:lang w:val="es-AR" w:eastAsia="es-AR" w:bidi="es-AR"/>
        </w:rPr>
      </w:pPr>
      <w:r>
        <w:rPr>
          <w:lang w:val="es-AR" w:eastAsia="es-AR" w:bidi="es-AR"/>
        </w:rPr>
        <w:t xml:space="preserve"> 	Esta omisión no sólo refleja la inobservancia de una carga complementaria a cargo de la aseguradora, sino también un incumplimiento manifiesto del deber de información a su cargo (art. 4 de la ley 24.240).</w:t>
      </w:r>
    </w:p>
    <w:p>
      <w:pPr>
        <w:pStyle w:val="[Normal]"/>
        <w:spacing w:line="360" w:lineRule="auto"/>
        <w:ind w:firstLine="1134"/>
        <w:jc w:val="both"/>
        <w:rPr>
          <w:color w:val="000000"/>
          <w:lang w:val="es-AR" w:eastAsia="es-AR" w:bidi="es-AR"/>
        </w:rPr>
      </w:pPr>
      <w:r>
        <w:rPr>
          <w:color w:val="000000"/>
          <w:lang w:val="es-AR" w:eastAsia="es-AR" w:bidi="es-AR"/>
        </w:rPr>
        <w:t xml:space="preserve"> En aras de pronunciarme sobre tal cuestión, resulta útil efectuar una aproximación conceptual y jurídica al deber de información. En este sentido, se lo ha calificado como un deber jurídico obligacional, de causa diversa, que incumbe al poseedor de la información vinculada con una relación jurídica o con la cosa involucrada en la prestación, o atinente a actividades susceptibles de causar daños a terceros o a uno de los contratantes, derivado de dicha información, y cuyo contenido es el de poner en conocimiento de la otra parte una cantidad de datos suficientes como para evitar los daños o mitigar la inferioridad negocial que pueda generarse en la otra parte si no son suministrados (PÉREZ GARCÍA, Pedro Antonio, El deber de información en la contratación privada, Ministerio de Sanidad y Consumo, Instituto Nacional del Consumo de España, Madrid, pag. 56).	</w:t>
        <w:br w:type="textWrapping"/>
      </w:r>
      <w:r>
        <w:rPr>
          <w:color w:val="000000"/>
          <w:lang w:val="es-AR" w:eastAsia="es-AR" w:bidi="es-AR"/>
        </w:rPr>
        <w:t xml:space="preserve"> 	Cuando nos trasladamos a la esfera de los consumidores, el deber de información adquiere una importancia especial, no bien se constata que: </w:t>
      </w:r>
      <w:r>
        <w:rPr>
          <w:i/>
          <w:color w:val="000000"/>
          <w:lang w:val="es-AR" w:eastAsia="es-AR" w:bidi="es-AR"/>
        </w:rPr>
        <w:t xml:space="preserve">“…el objetivo prioritario del movimiento viene configurado por la necesidad de profundizar las comunicaciones al público, sobre el complejo de los elementos determinantes para la libre elección de las operaciones económicas más convenientes” </w:t>
      </w:r>
      <w:r>
        <w:rPr>
          <w:color w:val="000000"/>
          <w:lang w:val="es-AR" w:eastAsia="es-AR" w:bidi="es-AR"/>
        </w:rPr>
        <w:t xml:space="preserve">(STIGLITZ, Gabriel A., Protección jurídica del consumidor, Depalma, Buenos Aires, 1986, pag. 36).</w:t>
      </w:r>
      <w:r>
        <w:rPr>
          <w:i/>
          <w:color w:val="000000"/>
          <w:lang w:val="es-AR" w:eastAsia="es-AR" w:bidi="es-AR"/>
        </w:rPr>
        <w:t xml:space="preserve"> </w:t>
      </w:r>
      <w:r>
        <w:rPr>
          <w:color w:val="000000"/>
          <w:lang w:val="es-AR" w:eastAsia="es-AR" w:bidi="es-AR"/>
        </w:rPr>
        <w:t xml:space="preserve">Es que el fortalecimiento del deber de información deviene absolutamente lógico en esta rama del derecho: a la acentuación del nivel de anoticiamiento, sigue por naturaleza la concientización del consumidor sobre sus propios derechos y, por ende, el fortalecimiento, en alguna medida, de su originaria posición de debilidad en el mercado. Y el art. 4 de la ley 24.240 así lo refrenda, confiriéndole un reconocimiento expreso, autónomo y acentuado a este deber jurídico: </w:t>
      </w:r>
      <w:r>
        <w:rPr>
          <w:i/>
          <w:color w:val="000000"/>
          <w:lang w:val="es-AR" w:eastAsia="es-AR" w:bidi="es-AR"/>
        </w:rPr>
        <w:t xml:space="preserve">"ARTICULO 4º — Información. El proveedor está obligado a suministrar al consumidor en forma cierta, clara y detallada todo lo relacionado con las características esenciales de los bienes y servicios que provee, y las condiciones de su comercialización"</w:t>
      </w:r>
      <w:r>
        <w:rPr>
          <w:color w:val="000000"/>
          <w:lang w:val="es-AR" w:eastAsia="es-AR" w:bidi="es-AR"/>
        </w:rPr>
        <w:t xml:space="preserve">.</w:t>
      </w:r>
    </w:p>
    <w:p>
      <w:pPr>
        <w:pStyle w:val="[Normal]"/>
        <w:spacing w:line="360" w:lineRule="auto"/>
        <w:ind w:firstLine="1134"/>
        <w:jc w:val="both"/>
        <w:rPr>
          <w:lang w:val="es-AR" w:eastAsia="es-AR" w:bidi="es-AR"/>
        </w:rPr>
      </w:pPr>
      <w:r>
        <w:rPr>
          <w:color w:val="000000"/>
          <w:lang w:val="es-AR" w:eastAsia="es-AR" w:bidi="es-AR"/>
        </w:rPr>
        <w:t xml:space="preserve">En este sentido, el proveedor tiene la obligación de suministrar al consumidor en forma cierta, clara y detallada todo lo relacionado con las características esenciales de los bienes y servicios que provee, garantizando la gratuidad del suministro informativo (</w:t>
      </w:r>
      <w:r>
        <w:rPr>
          <w:lang w:val="es-AR" w:eastAsia="es-AR" w:bidi="es-AR"/>
        </w:rPr>
        <w:t xml:space="preserve">GROVER DORADO, John, Los contratos electrónicos de consumo en el derecho argentino. Publicado en El Derecho. Diario de doctrina y jurisprudencia. • ISSN 1666-8987 • Nº 14.076 • AÑO LIV • ED 270).</w:t>
      </w:r>
    </w:p>
    <w:p>
      <w:pPr>
        <w:pStyle w:val="[Normal]"/>
        <w:spacing w:line="360" w:lineRule="auto"/>
        <w:ind w:firstLine="1134"/>
        <w:jc w:val="both"/>
        <w:rPr>
          <w:lang w:val="es-AR" w:eastAsia="es-AR" w:bidi="es-AR"/>
        </w:rPr>
      </w:pPr>
      <w:r>
        <w:rPr>
          <w:color w:val="000000"/>
          <w:lang w:val="es-AR" w:eastAsia="es-AR" w:bidi="es-AR"/>
        </w:rPr>
        <w:t xml:space="preserve">El alcance y la forma de la información están determinados por las características particulares de cada situación y, en especial, por la necesidad de asegurar una elección racional por parte del consumidor, y el uso correcto y seguro de bienes y servicios contratados. 	</w:t>
        <w:br w:type="textWrapping"/>
      </w:r>
      <w:r>
        <w:rPr>
          <w:color w:val="000000"/>
          <w:lang w:val="es-AR" w:eastAsia="es-AR" w:bidi="es-AR"/>
        </w:rPr>
        <w:t xml:space="preserve"> 	A tales fines, la disposición precitada establece que la información debe ser cierta, clara y detallada. Analicemos en particular:	</w:t>
        <w:br w:type="textWrapping"/>
      </w:r>
      <w:r>
        <w:rPr>
          <w:color w:val="000000"/>
          <w:lang w:val="es-AR" w:eastAsia="es-AR" w:bidi="es-AR"/>
        </w:rPr>
        <w:t xml:space="preserve"> 	Cierta: una información para ser cierta debe ser no solamente verdadera, sino que también no tiene que generar incertidumbre. Lo cierto entonces se relaciona tanto con lo verdadero como con lo preciso.	</w:t>
        <w:br w:type="textWrapping"/>
      </w:r>
      <w:r>
        <w:rPr>
          <w:color w:val="000000"/>
          <w:lang w:val="es-AR" w:eastAsia="es-AR" w:bidi="es-AR"/>
        </w:rPr>
        <w:t xml:space="preserve"> 	Clara: este atributo se vincula con aquello que es inteligible o fácil de comprender. Siendo así, resulta algo vital para la debida protección de los intereses del consumidor.	</w:t>
        <w:br w:type="textWrapping"/>
      </w:r>
      <w:r>
        <w:rPr>
          <w:color w:val="000000"/>
          <w:lang w:val="es-AR" w:eastAsia="es-AR" w:bidi="es-AR"/>
        </w:rPr>
        <w:t xml:space="preserve"> 	Detallada: esta nota se relaciona con la descripción minuciosa y circunstanciada de las características de los bienes o servicios y del contrato en sí.  	</w:t>
        <w:br w:type="textWrapping"/>
      </w:r>
      <w:r>
        <w:rPr>
          <w:color w:val="000000"/>
          <w:lang w:val="es-AR" w:eastAsia="es-AR" w:bidi="es-AR"/>
        </w:rPr>
        <w:t xml:space="preserve"> 	El detalle debe tener una relevancia razonable. Un exceso de detalles podría producir </w:t>
      </w:r>
      <w:r>
        <w:rPr>
          <w:i/>
          <w:color w:val="000000"/>
          <w:lang w:val="es-AR" w:eastAsia="es-AR" w:bidi="es-AR"/>
        </w:rPr>
        <w:t xml:space="preserve">“sobreinformación”</w:t>
      </w:r>
      <w:r>
        <w:rPr>
          <w:color w:val="000000"/>
          <w:lang w:val="es-AR" w:eastAsia="es-AR" w:bidi="es-AR"/>
        </w:rPr>
        <w:t xml:space="preserve">, lo cual es un efecto no deseado del cumplimiento del deber contenido en los arts. 4°, LDC y 1100 Cód. Civ. y Com.	</w:t>
        <w:br w:type="textWrapping"/>
      </w:r>
      <w:r>
        <w:rPr>
          <w:color w:val="000000"/>
          <w:lang w:val="es-AR" w:eastAsia="es-AR" w:bidi="es-AR"/>
        </w:rPr>
        <w:t xml:space="preserve">  	Finalmente, la información debe ser comprensible. Esto significa que el proveedor no sólo debe informar sino que, además, no puede desentenderse de que el consumidor efectivamente comprenda el mensaje. 	 	Tal exigencia informativa se desprende del art. 42 de la CN en cuanto garantiza el carácter adecuado de la información, condición que no puede desvincularse del estado subjetivo del consumidor, como también se extrae por inferencia lógica de disposiciones particulares de la ley 24.240 que expresamente aluden a la necesidad de que la información sea comprendida (art. 14 y 61).	</w:t>
        <w:br w:type="textWrapping"/>
      </w:r>
      <w:r>
        <w:rPr>
          <w:color w:val="000000"/>
          <w:lang w:val="es-AR" w:eastAsia="es-AR" w:bidi="es-AR"/>
        </w:rPr>
        <w:t xml:space="preserve"> </w:t>
      </w:r>
      <w:r>
        <w:rPr>
          <w:lang w:val="es-AR" w:eastAsia="es-AR" w:bidi="es-AR"/>
        </w:rPr>
        <w:t xml:space="preserve"> 	En cuanto a la forma del deber de información, sobresale el requisito de la instrumentación por escrito lo cual otorga mayor seguridad a los consumidores sobre las condiciones de contratación, salvo que el consumidor hubiese optado expresamente por otro medio.</w:t>
      </w:r>
    </w:p>
    <w:p>
      <w:pPr>
        <w:pStyle w:val="[Normal]"/>
        <w:spacing w:line="360" w:lineRule="auto"/>
        <w:ind w:firstLine="1134"/>
        <w:jc w:val="both"/>
        <w:rPr>
          <w:lang w:val="es-AR" w:eastAsia="es-AR" w:bidi="es-AR"/>
        </w:rPr>
      </w:pPr>
      <w:r>
        <w:rPr>
          <w:lang w:val="es-AR" w:eastAsia="es-AR" w:bidi="es-AR"/>
        </w:rPr>
        <w:t xml:space="preserve">Trasladando estas consideraciones generales a la especie, advierto que concernía al contenido del deber de información a cargo del asegurado requerirle al consumidor la información de referencia dentro del plazo de 30 días previsto para ello o, al menos, justificar debidamente el requerimiento tardío de la información. </w:t>
      </w:r>
    </w:p>
    <w:p>
      <w:pPr>
        <w:pStyle w:val="[Normal]"/>
        <w:spacing w:line="360" w:lineRule="auto"/>
        <w:ind w:firstLine="1134"/>
        <w:jc w:val="both"/>
        <w:rPr>
          <w:lang w:val="es-AR" w:eastAsia="es-AR" w:bidi="es-AR"/>
        </w:rPr>
      </w:pPr>
      <w:r>
        <w:rPr>
          <w:lang w:val="es-AR" w:eastAsia="es-AR" w:bidi="es-AR"/>
        </w:rPr>
        <w:t xml:space="preserve">Advierto que en autos no se ha cumplido ni con el plazo del deber de información (30 días) ni con la forma (escrita), ni tampoco se ha justificado la omisión referida. Por ende, entiendo que la consecuencia jurídica aplicable a la situación configurada en autos ha de ser la asunción tácita de la cobertura del siniestro denunciado.</w:t>
      </w:r>
    </w:p>
    <w:p>
      <w:pPr>
        <w:pStyle w:val="[Normal]"/>
        <w:spacing w:line="360" w:lineRule="auto"/>
        <w:ind w:firstLine="1134"/>
        <w:jc w:val="both"/>
        <w:rPr>
          <w:lang w:val="es-AR" w:eastAsia="es-AR" w:bidi="es-AR"/>
        </w:rPr>
      </w:pPr>
      <w:r>
        <w:rPr>
          <w:lang w:val="es-AR" w:eastAsia="es-AR" w:bidi="es-AR"/>
        </w:rPr>
        <w:t xml:space="preserve">No resulta atendible en este sentido el argumento proporcionado por la parte demandada en el sentido de que la documentación de referencia se hallaba prevista en la cláusula </w:t>
      </w:r>
      <w:r>
        <w:rPr>
          <w:color w:val="000000"/>
          <w:lang w:val="es-AR" w:eastAsia="es-AR" w:bidi="es-AR"/>
        </w:rPr>
        <w:t xml:space="preserve">CA–CO 1.1</w:t>
      </w:r>
      <w:r>
        <w:rPr>
          <w:lang w:val="es-AR" w:eastAsia="es-AR" w:bidi="es-AR"/>
        </w:rPr>
        <w:t xml:space="preserve">, toda vez que tal situación de ningún modo satisface el pleno alcance del deber informativo previsto en el art. 4 de la ley 24.240.	</w:t>
        <w:br w:type="textWrapping"/>
      </w:r>
      <w:r>
        <w:rPr>
          <w:lang w:val="es-AR" w:eastAsia="es-AR" w:bidi="es-AR"/>
        </w:rPr>
        <w:t xml:space="preserve"> 	El criterio expuesto es conteste con lo dicho por este Tribunal en la causa "Visión Laser" en la que se sostuvo que: "</w:t>
      </w:r>
      <w:r>
        <w:rPr>
          <w:i/>
          <w:lang w:val="es-AR" w:eastAsia="es-AR" w:bidi="es-AR"/>
        </w:rPr>
        <w:t xml:space="preserve"> la enunciación de la documentación es genérica y no está adaptada a la situación específica del consumidor. Recuérdese que, como ya he dicho, </w:t>
      </w:r>
      <w:r>
        <w:rPr>
          <w:i/>
          <w:color w:val="000000"/>
          <w:lang w:val="es-AR" w:eastAsia="es-AR" w:bidi="es-AR"/>
        </w:rPr>
        <w:t xml:space="preserve">el deber de información presenta un contenido esencialmente elástico y ajustable a las circunstancias del caso concreto, lo que requiere un ajuste de los protocolos de actuación general a la situación específica del consumidor"</w:t>
      </w:r>
      <w:r>
        <w:rPr>
          <w:color w:val="000000"/>
          <w:lang w:val="es-AR" w:eastAsia="es-AR" w:bidi="es-AR"/>
        </w:rPr>
        <w:t xml:space="preserve"> (Cámara de Apelaciones en lo Civil y Comercial de Pergamino, </w:t>
      </w:r>
      <w:r>
        <w:rPr>
          <w:lang w:val="es-AR" w:eastAsia="es-AR" w:bidi="es-AR"/>
        </w:rPr>
        <w:t xml:space="preserve">causa N° </w:t>
      </w:r>
      <w:r>
        <w:rPr>
          <w:color w:val="000000"/>
          <w:lang w:val="es-AR" w:eastAsia="es-AR" w:bidi="es-AR"/>
        </w:rPr>
        <w:t xml:space="preserve">5583-25</w:t>
      </w:r>
      <w:r>
        <w:rPr>
          <w:lang w:val="es-AR" w:eastAsia="es-AR" w:bidi="es-AR"/>
        </w:rPr>
        <w:t xml:space="preserve">   caratulada "</w:t>
      </w:r>
      <w:r>
        <w:rPr>
          <w:color w:val="000000"/>
          <w:lang w:val="es-AR" w:eastAsia="es-AR" w:bidi="es-AR"/>
        </w:rPr>
        <w:t xml:space="preserve">VISION HD PERGAMINO S.A.  C/ SANCOR COOP. DE SEGUROS LTDA  S/ DAÑOS Y PERJ. INCUMP. CONTRACTUAL (EXC. ESTADO)</w:t>
      </w:r>
      <w:r>
        <w:rPr>
          <w:lang w:val="es-AR" w:eastAsia="es-AR" w:bidi="es-AR"/>
        </w:rPr>
        <w:t xml:space="preserve">" , 24/4/25).</w:t>
      </w:r>
    </w:p>
    <w:p>
      <w:pPr>
        <w:pStyle w:val="[Normal]"/>
        <w:spacing w:line="360" w:lineRule="auto"/>
        <w:ind w:firstLine="1134"/>
        <w:jc w:val="both"/>
        <w:rPr>
          <w:lang w:val="es-AR" w:eastAsia="es-AR" w:bidi="es-AR"/>
        </w:rPr>
      </w:pPr>
      <w:r>
        <w:rPr>
          <w:lang w:val="es-AR" w:eastAsia="es-AR" w:bidi="es-AR"/>
        </w:rPr>
        <w:t xml:space="preserve">En definitiva, el yerro de la sentencia apelada consistió, precisamente, en soslayar las consecuencias jurídicas propias del art. 56 de la Ley 17.418. En lugar de partir de la carga legal y perentoria que pesa sobre la aseguradora de pronunciarse en término o, en su caso, requerir fehacientemente información complementaria dentro del régimen del art. 46, el fallo razonó como si el incumplimiento documental del asegurado (en el caso, la suscripción del formulario 15 de cesión de derechos en favor de la aseguradora) pudiera, por sí solo, </w:t>
      </w:r>
      <w:r>
        <w:rPr>
          <w:i/>
          <w:lang w:val="es-AR" w:eastAsia="es-AR" w:bidi="es-AR"/>
        </w:rPr>
        <w:t xml:space="preserve">“purgar”</w:t>
      </w:r>
      <w:r>
        <w:rPr>
          <w:lang w:val="es-AR" w:eastAsia="es-AR" w:bidi="es-AR"/>
        </w:rPr>
        <w:t xml:space="preserve"> o justificar la falta de requerimiento tempestivo y la ausencia de pronunciamiento. De ese modo, invirtió el orden lógico del sistema: trató la documentación como condición exculpatoria suficiente para declinar la cobertura, cuando, operado el silencio en plazo, la aseguradora queda impedida de oponer defensas liberatorias extemporáneas y la discusión documental sólo podría jugar -en todo caso- como recaudo instrumental para la ejecución del pago, no como vía para neutralizar la preclusión derivada del art. 56.</w:t>
      </w:r>
    </w:p>
    <w:p>
      <w:pPr>
        <w:pStyle w:val="[Normal]"/>
        <w:spacing w:line="360" w:lineRule="auto"/>
        <w:ind w:firstLine="1134"/>
        <w:jc w:val="both"/>
        <w:rPr>
          <w:lang w:val="es-AR" w:eastAsia="es-AR" w:bidi="es-AR"/>
        </w:rPr>
      </w:pPr>
      <w:r>
        <w:rPr>
          <w:lang w:val="es-AR" w:eastAsia="es-AR" w:bidi="es-AR"/>
        </w:rPr>
        <w:t xml:space="preserve">Con esta delimitación, corresponde acoger el agravio en cuanto denuncia omisión o errónea desatención del régimen del art. 56 LS y sus efectos, y reenfocar el análisis del caso desde esa pauta: la aseguradora debía demostrar haber rechazado en término o haber requerido fehacientemente información complementaria relevante; de no hacerlo, queda vedada la oponibilidad de defensas liberatorias articuladas fuera del plazo legal.</w:t>
      </w:r>
    </w:p>
    <w:p>
      <w:pPr>
        <w:pStyle w:val="[Normal]"/>
        <w:spacing w:line="360" w:lineRule="auto"/>
        <w:ind w:firstLine="1134"/>
        <w:jc w:val="both"/>
        <w:rPr>
          <w:lang w:val="es-AR" w:eastAsia="es-AR" w:bidi="es-AR"/>
        </w:rPr>
      </w:pPr>
      <w:r>
        <w:rPr>
          <w:lang w:val="es-AR" w:eastAsia="es-AR" w:bidi="es-AR"/>
        </w:rPr>
        <w:t xml:space="preserve">A partir de lo ya expuesto al tratar el presente agravio, corresponde tener por operativa la consecuencia del art. 56 LS (aceptación tácita), lo que torna inoponibles defensas liberatorias articuladas extemporáneamente para negar la cobertura del siniestro. </w:t>
      </w:r>
    </w:p>
    <w:p>
      <w:pPr>
        <w:pStyle w:val="[Normal]"/>
        <w:spacing w:line="360" w:lineRule="auto"/>
        <w:ind w:firstLine="1134"/>
        <w:jc w:val="both"/>
        <w:rPr>
          <w:lang w:val="es-AR" w:eastAsia="es-AR" w:bidi="es-AR"/>
        </w:rPr>
      </w:pPr>
      <w:r>
        <w:rPr>
          <w:lang w:val="es-AR" w:eastAsia="es-AR" w:bidi="es-AR"/>
        </w:rPr>
        <w:t xml:space="preserve">III.- La consecuencia jurídica y procesal de lo propiciado en el párrafo anterior me conduce a ingresar en el análisis y la procedencia de los rubros indemnizatorios reclamados.</w:t>
      </w:r>
    </w:p>
    <w:p>
      <w:pPr>
        <w:pStyle w:val="[Normal]"/>
        <w:spacing w:line="360" w:lineRule="auto"/>
        <w:ind w:firstLine="1134"/>
        <w:jc w:val="both"/>
        <w:rPr>
          <w:lang w:val="es-AR" w:eastAsia="es-AR" w:bidi="es-AR"/>
        </w:rPr>
      </w:pPr>
      <w:r>
        <w:rPr>
          <w:lang w:val="es-AR" w:eastAsia="es-AR" w:bidi="es-AR"/>
        </w:rPr>
        <w:t xml:space="preserve">III.1. En ese marco, entiendo que el rubro daño material debe prosperar, aunque para su cuantificación habrá de seguirse el criterio establecido por este Tribunal </w:t>
      </w:r>
      <w:r>
        <w:rPr>
          <w:color w:val="000000"/>
          <w:lang w:val="es-AR" w:eastAsia="es-AR" w:bidi="es-AR"/>
        </w:rPr>
        <w:t xml:space="preserve">en la causa </w:t>
      </w:r>
      <w:r>
        <w:rPr>
          <w:i/>
          <w:color w:val="000000"/>
          <w:lang w:val="es-AR" w:eastAsia="es-AR" w:bidi="es-AR"/>
        </w:rPr>
        <w:t xml:space="preserve">"Leidi"</w:t>
      </w:r>
      <w:r>
        <w:rPr>
          <w:color w:val="000000"/>
          <w:lang w:val="es-AR" w:eastAsia="es-AR" w:bidi="es-AR"/>
        </w:rPr>
        <w:t xml:space="preserve">.	</w:t>
        <w:br w:type="textWrapping"/>
      </w:r>
      <w:r>
        <w:rPr>
          <w:color w:val="000000"/>
          <w:lang w:val="es-AR" w:eastAsia="es-AR" w:bidi="es-AR"/>
        </w:rPr>
        <w:t xml:space="preserve"> 	A fin de evitar reiteraciones innecesarias, he de limitarme a transcribir únicamente la conclusión de esta Alzada en aquel precedente: </w:t>
      </w:r>
      <w:r>
        <w:rPr>
          <w:i/>
          <w:color w:val="000000"/>
          <w:lang w:val="es-AR" w:eastAsia="es-AR" w:bidi="es-AR"/>
        </w:rPr>
        <w:t xml:space="preserve">"En virtud de lo expuesto, entiendo que la convergencia conjunta y armónica de los argumentos expuestos -naturaleza jurídica de la deuda de valor (art. 772 del C.C.), efectos de la mora del deudor (art. 886 del C.C.), principio de reparación plena (art. 1740 del C.C.), las proyecciones del principio de buena fe (art. 9 del C.C.), la función indemnizatoria y protectoria del derecho del seguro (art. 3 de la ley 24.240 y art. 1 de la ley 17.418-, las consecuencias económicas distorsivas producidas por el proceso inflacionario en los últimos tres años en tanto hecho público y notorio (art. 384 del CPCCBA, el control de abusividad de las cláusulas integrativas de contratos de consumo (art. 37 de la ley 24.240), los lineamientos generales de la doctrina legal de la SCBA en materia de determinación de deudas de valor- establece la necesidad de acoger el agravio vertido por el apelante y determinar el rubro resarcitorio reclamado sobre la base del valor actual del automóvil y no sobre la base de la suma asegurada como importe nominal e histórico"</w:t>
      </w:r>
      <w:r>
        <w:rPr>
          <w:color w:val="000000"/>
          <w:lang w:val="es-AR" w:eastAsia="es-AR" w:bidi="es-AR"/>
        </w:rPr>
        <w:t xml:space="preserve"> (Cámara de Apelaciones en lo Civil y Comercial de Pergamino, </w:t>
      </w:r>
      <w:r>
        <w:rPr>
          <w:lang w:val="es-AR" w:eastAsia="es-AR" w:bidi="es-AR"/>
        </w:rPr>
        <w:t xml:space="preserve">causa N° </w:t>
      </w:r>
      <w:r>
        <w:rPr>
          <w:color w:val="000000"/>
          <w:lang w:val="es-AR" w:eastAsia="es-AR" w:bidi="es-AR"/>
        </w:rPr>
        <w:t xml:space="preserve">4925-23</w:t>
      </w:r>
      <w:r>
        <w:rPr>
          <w:lang w:val="es-AR" w:eastAsia="es-AR" w:bidi="es-AR"/>
        </w:rPr>
        <w:t xml:space="preserve">     caratulada "</w:t>
      </w:r>
      <w:r>
        <w:rPr>
          <w:color w:val="000000"/>
          <w:lang w:val="es-AR" w:eastAsia="es-AR" w:bidi="es-AR"/>
        </w:rPr>
        <w:t xml:space="preserve">LEIDI FATIMA GISELA C/ COOPERACION MUTUAL PATRONAL S.M.S.G.  S/ DAÑOS Y PERJ. INCUMP. CONTRACTUAL (EXC. ESTADO)</w:t>
      </w:r>
      <w:r>
        <w:rPr>
          <w:lang w:val="es-AR" w:eastAsia="es-AR" w:bidi="es-AR"/>
        </w:rPr>
        <w:t xml:space="preserve">"  .	</w:t>
        <w:br w:type="textWrapping"/>
      </w:r>
      <w:r>
        <w:rPr>
          <w:lang w:val="es-AR" w:eastAsia="es-AR" w:bidi="es-AR"/>
        </w:rPr>
        <w:t xml:space="preserve"> 	Y aunque no se me escapa que en el citado precedente, el debate se suscitó en el contexto contractual de un seguro por destrucción total, y no por robo como ha acontecido en la especie, entiendo que tal diferencia termina siendo puramente accidental y no desvirtúa la esencia común de la cuestión analizada en sendas causas, cuál es la indemnización del valor del vehículo más allá del origen causal del siniestro. Máxime cuando tampoco se ha acreditado que estemos ante un supuesto de infraseguro en el que el asegurador se haya obligado en la proporción existente entre la suma asegurada y el valor asegurable.	</w:t>
      </w:r>
    </w:p>
    <w:p>
      <w:pPr>
        <w:pStyle w:val="[Normal]"/>
        <w:spacing w:line="360" w:lineRule="auto"/>
        <w:ind w:firstLine="1134"/>
        <w:jc w:val="both"/>
        <w:rPr>
          <w:lang w:val="es-AR" w:eastAsia="es-AR" w:bidi="es-AR"/>
        </w:rPr>
      </w:pPr>
      <w:r>
        <w:rPr>
          <w:lang w:val="es-AR" w:eastAsia="es-AR" w:bidi="es-AR"/>
        </w:rPr>
        <w:t xml:space="preserve">En un reciente pronunciamiento, me he expedido en sintonía con los fallos de la SCBA en el sentido de que la indemnización debe ser la mas cercana al valor real del bien ante una situación en la que el importe resarcitorio no alcanzaba para la adquisición de un vehículo como el dañado en el hecho (Cámara de Apelaciones en lo Civil y Comercial de Pergamino, causa n° </w:t>
      </w:r>
      <w:r>
        <w:rPr>
          <w:color w:val="000000"/>
          <w:lang w:val="es-AR" w:eastAsia="es-AR" w:bidi="es-AR"/>
        </w:rPr>
        <w:t xml:space="preserve">5225-24</w:t>
      </w:r>
      <w:r>
        <w:rPr>
          <w:lang w:val="es-AR" w:eastAsia="es-AR" w:bidi="es-AR"/>
        </w:rPr>
        <w:t xml:space="preserve">, "</w:t>
      </w:r>
      <w:r>
        <w:rPr>
          <w:color w:val="000000"/>
          <w:lang w:val="es-AR" w:eastAsia="es-AR" w:bidi="es-AR"/>
        </w:rPr>
        <w:t xml:space="preserve">BOURDA, DEBORA ANGELA Y OTRO C/LUMBRERAS S. A. Y OTRO S/DAÑOS Y PERJUICIOS AUTOM. C/LES. O MUERTE (EXC. ESTADO)</w:t>
      </w:r>
      <w:r>
        <w:rPr>
          <w:lang w:val="es-AR" w:eastAsia="es-AR" w:bidi="es-AR"/>
        </w:rPr>
        <w:t xml:space="preserve">", 6/8/2024).-</w:t>
      </w:r>
    </w:p>
    <w:p>
      <w:pPr>
        <w:pStyle w:val="[Normal]"/>
        <w:spacing w:line="360" w:lineRule="auto"/>
        <w:ind w:firstLine="1134"/>
        <w:jc w:val="both"/>
        <w:rPr>
          <w:lang w:val="es-AR" w:eastAsia="es-AR" w:bidi="es-AR"/>
        </w:rPr>
      </w:pPr>
      <w:r>
        <w:rPr>
          <w:lang w:val="es-AR" w:eastAsia="es-AR" w:bidi="es-AR"/>
        </w:rPr>
        <w:t xml:space="preserve">En consonancia con la mentada directriz, propondré al acuerdo que el rubro resarcitorio correspondiente al valor de reposición del vehículo por robo sea admitido condenando a la demandada a abonar a la actora el valor de mercado actualizado correspondiente a las características y modelo del automotor en cuestión, a cuyo fin -una vez que los autos bajen a la instancia de origen- el perito interviniente deberá expedirse en la etapa de liquidación y determinar el valor de mercado del rodado de referencia conforme cotización vigente al tiempo de realizar dicha tarea.  Y será en esta medida que admitiré el agravio planteado por el actor apelante.-</w:t>
      </w:r>
    </w:p>
    <w:p>
      <w:pPr>
        <w:pStyle w:val="[Normal]"/>
        <w:spacing w:line="360" w:lineRule="auto"/>
        <w:ind w:firstLine="1134"/>
        <w:jc w:val="both"/>
        <w:rPr>
          <w:lang w:val="es-AR" w:eastAsia="es-AR" w:bidi="es-AR"/>
        </w:rPr>
      </w:pPr>
      <w:r>
        <w:rPr>
          <w:lang w:val="es-AR" w:eastAsia="es-AR" w:bidi="es-AR"/>
        </w:rPr>
        <w:t xml:space="preserve">Este Tribunal, como tantos otros tribunales de la provincia (ver vgr. Cámara de Apelaciones en lo Civil y Comercial de Mar del Plata, causa 175944, SOTTILE DAVID C/ MARTINEZ RODRIGO Y OTRO/A S/ DAÑOS Y PERJ. AUTOM. C/LES. O MUERTE (EXC. ESTADO), 29/6/23), ha seguido el criterio de la Suprema Corte de la Provincia de Buenos Aires conforme el cual en juicios de daños y perjuicios los jueces se hallan facultados para fijar el </w:t>
      </w:r>
      <w:r>
        <w:rPr>
          <w:i/>
          <w:lang w:val="es-AR" w:eastAsia="es-AR" w:bidi="es-AR"/>
        </w:rPr>
        <w:t xml:space="preserve">quantum </w:t>
      </w:r>
      <w:r>
        <w:rPr>
          <w:lang w:val="es-AR" w:eastAsia="es-AR" w:bidi="es-AR"/>
        </w:rPr>
        <w:t xml:space="preserve">indemnizatorio tanto a la fecha del hecho como al momento de dictar sentencia y aún diferirlo a las resultas del procedimiento que considere pertinente -art. 165, C.P.C.C.-, todo a fin de lograr una mejor reparación del daño causado.-</w:t>
      </w:r>
    </w:p>
    <w:p>
      <w:pPr>
        <w:pStyle w:val="[Normal]"/>
        <w:spacing w:line="360" w:lineRule="auto"/>
        <w:ind w:firstLine="1134"/>
        <w:jc w:val="both"/>
        <w:rPr>
          <w:lang w:val="es-AR" w:eastAsia="es-AR" w:bidi="es-AR"/>
        </w:rPr>
      </w:pPr>
      <w:r>
        <w:rPr>
          <w:lang w:val="es-AR" w:eastAsia="es-AR" w:bidi="es-AR"/>
        </w:rPr>
        <w:t xml:space="preserve">Esta modalidad parte de la premisa de que los reclamos resarcitorios versan sobre deudas de valor, por lo que aquella estimación jurisprudencial realizada en un momento posterior al hecho dañoso permite determinar el contenido monetario de una cierta utilidad o valor que es objeto de controversia (SCBA, entre muchísimos otros, véase c. 101.107 -“</w:t>
      </w:r>
      <w:r>
        <w:rPr>
          <w:i/>
          <w:lang w:val="es-AR" w:eastAsia="es-AR" w:bidi="es-AR"/>
        </w:rPr>
        <w:t xml:space="preserve">Arbizu</w:t>
      </w:r>
      <w:r>
        <w:rPr>
          <w:lang w:val="es-AR" w:eastAsia="es-AR" w:bidi="es-AR"/>
        </w:rPr>
        <w:t xml:space="preserve">...”- del 23/03/2010 c. 117735 -"</w:t>
      </w:r>
      <w:r>
        <w:rPr>
          <w:i/>
          <w:lang w:val="es-AR" w:eastAsia="es-AR" w:bidi="es-AR"/>
        </w:rPr>
        <w:t xml:space="preserve">Bi Launek</w:t>
      </w:r>
      <w:r>
        <w:rPr>
          <w:lang w:val="es-AR" w:eastAsia="es-AR" w:bidi="es-AR"/>
        </w:rPr>
        <w:t xml:space="preserve">"- del 24/09/2014, c. 117501 -"</w:t>
      </w:r>
      <w:r>
        <w:rPr>
          <w:i/>
          <w:lang w:val="es-AR" w:eastAsia="es-AR" w:bidi="es-AR"/>
        </w:rPr>
        <w:t xml:space="preserve">Martinez</w:t>
      </w:r>
      <w:r>
        <w:rPr>
          <w:lang w:val="es-AR" w:eastAsia="es-AR" w:bidi="es-AR"/>
        </w:rPr>
        <w:t xml:space="preserve">"- del 04/03/2015, c. 119449 -"</w:t>
      </w:r>
      <w:r>
        <w:rPr>
          <w:i/>
          <w:lang w:val="es-AR" w:eastAsia="es-AR" w:bidi="es-AR"/>
        </w:rPr>
        <w:t xml:space="preserve">Córdoba</w:t>
      </w:r>
      <w:r>
        <w:rPr>
          <w:lang w:val="es-AR" w:eastAsia="es-AR" w:bidi="es-AR"/>
        </w:rPr>
        <w:t xml:space="preserve">..."- del 15/07/2015, c. 102963 -"</w:t>
      </w:r>
      <w:r>
        <w:rPr>
          <w:i/>
          <w:lang w:val="es-AR" w:eastAsia="es-AR" w:bidi="es-AR"/>
        </w:rPr>
        <w:t xml:space="preserve">Sabalete</w:t>
      </w:r>
      <w:r>
        <w:rPr>
          <w:lang w:val="es-AR" w:eastAsia="es-AR" w:bidi="es-AR"/>
        </w:rPr>
        <w:t xml:space="preserve">..."- del 07/09/2016, c. 120192 -"</w:t>
      </w:r>
      <w:r>
        <w:rPr>
          <w:i/>
          <w:lang w:val="es-AR" w:eastAsia="es-AR" w:bidi="es-AR"/>
        </w:rPr>
        <w:t xml:space="preserve">Scandizzo de Prieto</w:t>
      </w:r>
      <w:r>
        <w:rPr>
          <w:lang w:val="es-AR" w:eastAsia="es-AR" w:bidi="es-AR"/>
        </w:rPr>
        <w:t xml:space="preserve">"- del 07/09/2016).-</w:t>
      </w:r>
    </w:p>
    <w:p>
      <w:pPr>
        <w:pStyle w:val="[Normal]"/>
        <w:spacing w:line="360" w:lineRule="auto"/>
        <w:ind w:firstLine="1134"/>
        <w:jc w:val="both"/>
        <w:rPr>
          <w:lang w:val="es-AR" w:eastAsia="es-AR" w:bidi="es-AR"/>
        </w:rPr>
      </w:pPr>
      <w:r>
        <w:rPr>
          <w:lang w:val="es-AR" w:eastAsia="es-AR" w:bidi="es-AR"/>
        </w:rPr>
        <w:t xml:space="preserve">En suma, a la luz de la doctrina legal de la Casación bonaerense, los jueces están habilitados para cuantificar los daños al momento de sentenciar, pero no necesariamente deben fijar allí mismo </w:t>
      </w:r>
      <w:r>
        <w:rPr>
          <w:i/>
          <w:lang w:val="es-AR" w:eastAsia="es-AR" w:bidi="es-AR"/>
        </w:rPr>
        <w:t xml:space="preserve">el quantum </w:t>
      </w:r>
      <w:r>
        <w:rPr>
          <w:lang w:val="es-AR" w:eastAsia="es-AR" w:bidi="es-AR"/>
        </w:rPr>
        <w:t xml:space="preserve">del resarcimiento. Pueden postergar la conversión -y la correlativa transformación de la obligación de valor a una dineraria- para una etapa ejecutoria posterior.  Esta última modalidad permite a los jueces separar temporalmente la </w:t>
      </w:r>
      <w:r>
        <w:rPr>
          <w:i/>
          <w:lang w:val="es-AR" w:eastAsia="es-AR" w:bidi="es-AR"/>
        </w:rPr>
        <w:t xml:space="preserve">cuantificación de la indemnización </w:t>
      </w:r>
      <w:r>
        <w:rPr>
          <w:lang w:val="es-AR" w:eastAsia="es-AR" w:bidi="es-AR"/>
        </w:rPr>
        <w:t xml:space="preserve">(esto es, la decisión judicial de evaluar la extensión del perjuicio y fijar el valor que compone el objeto de la obligación) de su </w:t>
      </w:r>
      <w:r>
        <w:rPr>
          <w:i/>
          <w:lang w:val="es-AR" w:eastAsia="es-AR" w:bidi="es-AR"/>
        </w:rPr>
        <w:t xml:space="preserve">conversión a una suma dineraria </w:t>
      </w:r>
      <w:r>
        <w:rPr>
          <w:lang w:val="es-AR" w:eastAsia="es-AR" w:bidi="es-AR"/>
        </w:rPr>
        <w:t xml:space="preserve">(que, como se vio, es la oportunidad en la que se traduce el valor escogido a una determinada cantidad de unidades monetarias considerando, como el propio art. 772 del CCyC lo exige, parámetros económicos actualizados).-</w:t>
      </w:r>
    </w:p>
    <w:p>
      <w:pPr>
        <w:pStyle w:val="[Normal]"/>
        <w:spacing w:line="360" w:lineRule="auto"/>
        <w:ind w:firstLine="1134"/>
        <w:jc w:val="both"/>
        <w:rPr>
          <w:lang w:val="es-AR" w:eastAsia="es-AR" w:bidi="es-AR"/>
        </w:rPr>
      </w:pPr>
      <w:r>
        <w:rPr>
          <w:lang w:val="es-AR" w:eastAsia="es-AR" w:bidi="es-AR"/>
        </w:rPr>
        <w:t xml:space="preserve">Como derivación práctica de lo expuesto -particularmente del momento de la valuación del daño-, habré de establecer una tasa de interés pura del 6% desde el 1/12/2020 (fecha en que quedó tácitamente asumida la cobertura por incumplimiento de la carga de pronunciamiento) hasta el momento en que se practique la determinación pericial ordenada en la especie y, desde allí en adelante, comience a correr la tasa al tipo que cobra el Banco de la Provincia de Buenos Aires en operaciones de descuento de documentos comerciales en préstamos ordinarios -tasa activa-, aplicable en los distintos períodos. (Art. 886 del Cód. Civil y Comercial) hasta el efectivo pago.</w:t>
      </w:r>
    </w:p>
    <w:p>
      <w:pPr>
        <w:pStyle w:val="[Normal]"/>
        <w:spacing w:line="360" w:lineRule="auto"/>
        <w:ind w:firstLine="1134"/>
        <w:jc w:val="both"/>
        <w:rPr>
          <w:lang w:val="es-AR" w:eastAsia="es-AR" w:bidi="es-AR"/>
        </w:rPr>
      </w:pPr>
      <w:r>
        <w:rPr>
          <w:color w:val="000000"/>
          <w:lang w:val="es-AR" w:eastAsia="es-AR" w:bidi="es-AR"/>
        </w:rPr>
        <w:t xml:space="preserve">Si bien es cierto que en la causa </w:t>
      </w:r>
      <w:r>
        <w:rPr>
          <w:i/>
          <w:color w:val="000000"/>
          <w:lang w:val="es-AR" w:eastAsia="es-AR" w:bidi="es-AR"/>
        </w:rPr>
        <w:t xml:space="preserve">"Ale" </w:t>
      </w:r>
      <w:r>
        <w:rPr>
          <w:color w:val="000000"/>
          <w:lang w:val="es-AR" w:eastAsia="es-AR" w:bidi="es-AR"/>
        </w:rPr>
        <w:t xml:space="preserve">dictada por este Tribunal </w:t>
      </w:r>
      <w:r>
        <w:rPr>
          <w:i/>
          <w:color w:val="000000"/>
          <w:lang w:val="es-AR" w:eastAsia="es-AR" w:bidi="es-AR"/>
        </w:rPr>
        <w:t xml:space="preserve">(</w:t>
      </w:r>
      <w:r>
        <w:rPr>
          <w:rStyle w:val="STRONG"/>
          <w:b w:val="off"/>
          <w:i/>
          <w:lang w:val="es-AR" w:eastAsia="es-AR" w:bidi="es-AR"/>
        </w:rPr>
        <w:t xml:space="preserve">"ALE, María del Luján C/ COOPERACIÓN MUTUAL PATRONAL SMSG S/ DAÑOS Y PERJUICIOS", </w:t>
      </w:r>
      <w:r>
        <w:rPr>
          <w:rStyle w:val="STRONG"/>
          <w:b w:val="off"/>
          <w:lang w:val="es-AR" w:eastAsia="es-AR" w:bidi="es-AR"/>
        </w:rPr>
        <w:t xml:space="preserve">Expte. 4502-22)</w:t>
      </w:r>
      <w:r>
        <w:rPr>
          <w:color w:val="000000"/>
          <w:lang w:val="es-AR" w:eastAsia="es-AR" w:bidi="es-AR"/>
        </w:rPr>
        <w:t xml:space="preserve"> esta Cámara se ha hecho eco de la doctrina legal de la Suprema Corte provincial en cuanto sostiene (</w:t>
      </w:r>
      <w:r>
        <w:rPr>
          <w:lang w:val="es-AR" w:eastAsia="es-AR" w:bidi="es-AR"/>
        </w:rPr>
        <w:t xml:space="preserve">a partir de las causas "Ginossi" y "Ponce", ambas con sentencia del 21-X-2009) que los intereses moratorios deben ser calculados a la tasa que pague el Banco de la Provincia de Buenos Aires en sus depósitos a treinta días, vigente al inicio de cada uno de los períodos comprendidos y, por aquellos días que no alcance a cubrir el lapso señalado, según lo que resulte de prorratear diariamente dicha tasa, entiendo que ello no resulta aplicable a la especie.</w:t>
      </w:r>
    </w:p>
    <w:p>
      <w:pPr>
        <w:pStyle w:val="[Normal]"/>
        <w:spacing w:line="360" w:lineRule="auto"/>
        <w:ind w:firstLine="1134"/>
        <w:jc w:val="both"/>
        <w:rPr>
          <w:color w:val="000000"/>
          <w:lang w:val="es-AR" w:eastAsia="es-AR" w:bidi="es-AR"/>
        </w:rPr>
      </w:pPr>
      <w:r>
        <w:rPr>
          <w:lang w:val="es-AR" w:eastAsia="es-AR" w:bidi="es-AR"/>
        </w:rPr>
        <w:t xml:space="preserve"> Tal apartamiento se funda en el hecho de que lo que está en discusión aquí es el valor de reposición del rodado, </w:t>
      </w:r>
      <w:r>
        <w:rPr>
          <w:color w:val="000000"/>
          <w:lang w:val="es-AR" w:eastAsia="es-AR" w:bidi="es-AR"/>
        </w:rPr>
        <w:t xml:space="preserve">lo que implica que de haber recibido su acreencia en término el actor no la hubiera destinado a una inversión que le generara renta (como sí resulta razonablemente presumible en las indemnizaciones de daños y perjuicios) sino a la compra de otro automóvil que reemplazara al que era objeto del seguro.  De ello se sigue que el actor no se vio privado de invertir sino de adquirir.  Y siendo que el fundamento de la aplicación de la tasa pasiva tenido en cuenta por la Corte provincial radica en la presunción de inversión y no de consumo que se da en tales casos, corresponde dejar de lado la solución aplicada en los precedentes de referencia por tratarse aquí de un supuesto fáctico diferente en el que no se verifica el fundamento tenido en cuenta por el Alto Tribunal para proceder del modo expuesto.  En consecuencia, corresponde que al actor le sean abonados los intereses de acuerdo al costo financiero de esa adquisición.</w:t>
      </w:r>
    </w:p>
    <w:p>
      <w:pPr>
        <w:pStyle w:val="[Normal]"/>
        <w:spacing w:line="360" w:lineRule="auto"/>
        <w:ind w:firstLine="1134"/>
        <w:jc w:val="both"/>
        <w:rPr>
          <w:lang w:val="es-AR" w:eastAsia="es-AR" w:bidi="es-AR"/>
        </w:rPr>
      </w:pPr>
      <w:r>
        <w:rPr>
          <w:lang w:val="es-AR" w:eastAsia="es-AR" w:bidi="es-AR"/>
        </w:rPr>
        <w:t xml:space="preserve">Con este temperamento, se ha pronunciado la Cámara de Apelaciones en lo Civil y Comercial de San Martín al sostener que: </w:t>
      </w:r>
      <w:r>
        <w:rPr>
          <w:i/>
          <w:lang w:val="es-AR" w:eastAsia="es-AR" w:bidi="es-AR"/>
        </w:rPr>
        <w:t xml:space="preserve">"En orden a la tasa aplicable, la Suprema Corte provincial, cuando no exista convención ni disposición legal que determine el interés moratorio y éste deba ser fijado judicialmente, como aquí ocurre, continúa sosteniendo como doctrina legal que corresponde aplicar la tasa bancaria pasiva (SCJBA, Ac. 2078 en causa C.101774, "Ponce c/ Sangalli" del 21-10-09).  El fundamento que da sostén a esta doctrina es que talea accesorios "tienen por objeto resarcir el lucro que el acreedor hubiera obtenido de haber podido realizar una inversión que le generara una renta" (voto de la Dra. Kogan), para cuya determinación "no debe perderse de vista que necesariamente habrá que tener en cuenta cual podría haber sido la inversión ordinaria al alcance del acreedor da haber recibido la acreencia a término.  Desde este ángulo, es indudable que cualquier institución bancaria le hubiera abonado única y exclusivamente la tasa pasiva vigente al momento de la inversión o sus sucesivas renovaciones (siendo) estos conceptos lo que tuvo en cuenta esta Suprema Corte para arribar a la conclusión que da forma a la doctrina legal vigente" (voto del Dr. Pettigiani).  Entiendo que no es esta la situación fáctica de autos.  Lo que aquí se paga es el valor de reposición del rodado, lo cual implica que de haber recibido su acreencia en término el actor no la hubiera destinado a una inversión que le generara renta sino a la compra de otro automóvil que reemplazara al que era objeto del seguro y le fue robado, para lo cual si acudió a un banco fue para pedirle dinero prestado y no para invertirlo.  Su daño, entonces, está dado por el interés que debió pagar por ese dinero, que no hubiera necesitado pedir si la aseguradora le hubiera pagado en tiempo propio, siendo por tanto ese daño consecuencia inmediata y necesaria del incumplimiento de la demandada (arts. 519 y 520 del Cód. Civ.).  Entiendo, en función de ello, que en el caso particular del sublite corresponde acoger este agravio y mandar pagar la tasa activa que se pide. Independientemente de que haya pedido o no ese préstamo o haya adquirido o no otro automóvil en reemplazo del asegurado, de acuerdo a la finalidad del contrato de seguro conocida por ambas partes, el pago del valor del vehículo era para adquirir otro que lo sustituyera, con lo cual el actor no se vio privado de invertir sino de adquirir, debiendo serle abonados los intereses de acuerdo al costo financiero de esa adquisición" (</w:t>
      </w:r>
      <w:r>
        <w:rPr>
          <w:lang w:val="es-AR" w:eastAsia="es-AR" w:bidi="es-AR"/>
        </w:rPr>
        <w:t xml:space="preserve">CC0002 SM 62342 RSD-35-10 S, </w:t>
      </w:r>
      <w:r>
        <w:rPr>
          <w:i/>
          <w:lang w:val="es-AR" w:eastAsia="es-AR" w:bidi="es-AR"/>
        </w:rPr>
        <w:t xml:space="preserve">"Brodl, Gabriel Ernesto c/Agrosalta Cooperativa de Seguros Limitada s/Daños y Perjuicios"</w:t>
      </w:r>
      <w:r>
        <w:rPr>
          <w:lang w:val="es-AR" w:eastAsia="es-AR" w:bidi="es-AR"/>
        </w:rPr>
        <w:t xml:space="preserve">, 16/03/2010).-</w:t>
      </w:r>
    </w:p>
    <w:p>
      <w:pPr>
        <w:pStyle w:val="[Normal]"/>
        <w:spacing w:line="360" w:lineRule="auto"/>
        <w:ind w:firstLine="1134"/>
        <w:jc w:val="both"/>
        <w:rPr>
          <w:lang w:val="es-AR" w:eastAsia="es-AR" w:bidi="es-AR"/>
        </w:rPr>
      </w:pPr>
      <w:r>
        <w:rPr>
          <w:lang w:val="es-AR" w:eastAsia="es-AR" w:bidi="es-AR"/>
        </w:rPr>
        <w:t xml:space="preserve">El criterio expuesto ya ha sido aplicado por este Tribunal en la causa N° </w:t>
      </w:r>
      <w:r>
        <w:rPr>
          <w:lang w:val="es-AR" w:eastAsia="es-AR" w:bidi="es-AR"/>
        </w:rPr>
        <w:t xml:space="preserve">5008-23</w:t>
      </w:r>
      <w:r>
        <w:rPr>
          <w:lang w:val="es-AR" w:eastAsia="es-AR" w:bidi="es-AR"/>
        </w:rPr>
        <w:t xml:space="preserve">  caratulada "NICOLAI OSCAR RODRIGO Y OTRO/A C/ COOPERACION MUTUAL PATRONAL SMSG S/ DAÑOS Y PERJ. AUTOM. S/LESIONES (EXC. ESTADO)", de fecha 21/11/2023.</w:t>
      </w:r>
    </w:p>
    <w:p>
      <w:pPr>
        <w:pStyle w:val="[Normal]"/>
        <w:spacing w:line="360" w:lineRule="auto"/>
        <w:ind w:firstLine="1134"/>
        <w:jc w:val="both"/>
        <w:rPr>
          <w:lang w:val="es-AR" w:eastAsia="es-AR" w:bidi="es-AR"/>
        </w:rPr>
      </w:pPr>
      <w:r>
        <w:rPr>
          <w:lang w:val="es-AR" w:eastAsia="es-AR" w:bidi="es-AR"/>
        </w:rPr>
        <w:t xml:space="preserve">Para cerrar la fundamentación y determinación del rubro en tratamiento, corresponde precisar que la previsión del </w:t>
      </w:r>
      <w:r>
        <w:rPr>
          <w:i/>
          <w:lang w:val="es-AR" w:eastAsia="es-AR" w:bidi="es-AR"/>
        </w:rPr>
        <w:t xml:space="preserve">“ajuste automático de capital 30%"</w:t>
      </w:r>
      <w:r>
        <w:rPr>
          <w:lang w:val="es-AR" w:eastAsia="es-AR" w:bidi="es-AR"/>
        </w:rPr>
        <w:t xml:space="preserve"> inserta en el frente de póliza (cód. 201) no constituye, en sí misma, un “plus” indemnizatorio autónomo y acumulable, sino la exteriorización de la cláusula CA-CC 4.2, cuyo texto condiciona su operatividad a una finalidad estrictamente instrumental: incrementar las sumas estipuladas </w:t>
      </w:r>
      <w:r>
        <w:rPr>
          <w:i/>
          <w:lang w:val="es-AR" w:eastAsia="es-AR" w:bidi="es-AR"/>
        </w:rPr>
        <w:t xml:space="preserve">“en la medida que ello resulte necesario para alcanzar al momento del siniestro el valor a riesgo existente”</w:t>
      </w:r>
      <w:r>
        <w:rPr>
          <w:lang w:val="es-AR" w:eastAsia="es-AR" w:bidi="es-AR"/>
        </w:rPr>
        <w:t xml:space="preserve">, y -eventualmente- aplicar el remanente al tiempo de la aceptación del informe final de liquidación, nuevamente </w:t>
      </w:r>
      <w:r>
        <w:rPr>
          <w:i/>
          <w:lang w:val="es-AR" w:eastAsia="es-AR" w:bidi="es-AR"/>
        </w:rPr>
        <w:t xml:space="preserve">“en caso de ser necesario para alcanzar el valor a riesgo a este último momento”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Desde esta perspectiva, una vez que el rubro daño material se determina, conforme el criterio </w:t>
      </w:r>
      <w:r>
        <w:rPr>
          <w:i/>
          <w:lang w:val="es-AR" w:eastAsia="es-AR" w:bidi="es-AR"/>
        </w:rPr>
        <w:t xml:space="preserve">“Leidi”</w:t>
      </w:r>
      <w:r>
        <w:rPr>
          <w:lang w:val="es-AR" w:eastAsia="es-AR" w:bidi="es-AR"/>
        </w:rPr>
        <w:t xml:space="preserve">, sobre la base del valor de mercado actualizado del rodado al tiempo de la liquidación (esto es, el propio valor a riesgo), la función correctiva del ajuste queda absorbida por el mecanismo de valuación judicial. En otros términos: si la condena ya se fija para “alcanzar” el valor real de reposición, adicionar luego un 30% por la sola existencia de la cláusula importaría desbordar la finalidad expresamente prevista por ella (la necesidad de llegar al valor a riesgo), generando un pago por encima del valor del bien y, con ello, un resultado incompatible con la interdicción del enriquecimiento sin causa y con la regla de que la cobertura no puede convertirse en una fuente de ganancia para el asegurado.</w:t>
      </w:r>
    </w:p>
    <w:p>
      <w:pPr>
        <w:pStyle w:val="[Normal]"/>
        <w:spacing w:line="360" w:lineRule="auto"/>
        <w:ind w:firstLine="1134"/>
        <w:jc w:val="both"/>
        <w:rPr>
          <w:lang w:val="es-AR" w:eastAsia="es-AR" w:bidi="es-AR"/>
        </w:rPr>
      </w:pPr>
      <w:r>
        <w:rPr>
          <w:lang w:val="es-AR" w:eastAsia="es-AR" w:bidi="es-AR"/>
        </w:rPr>
        <w:t xml:space="preserve">Por lo tanto, sin desconocer la vigencia contractual del ajuste automático como herramienta anti-infraseguro, corresponde no aplicarlo como recargo adicional toda vez que desde aquí ya se está propiciando la fijación del quantum indemnizatorio a valor de mercado actualizado, lo que automáticamente hace decaer el presupuesto de procedencia que la propia cláusula exige. A saber, que el incremento </w:t>
      </w:r>
      <w:r>
        <w:rPr>
          <w:i/>
          <w:lang w:val="es-AR" w:eastAsia="es-AR" w:bidi="es-AR"/>
        </w:rPr>
        <w:t xml:space="preserve">“resulte necesario” </w:t>
      </w:r>
      <w:r>
        <w:rPr>
          <w:lang w:val="es-AR" w:eastAsia="es-AR" w:bidi="es-AR"/>
        </w:rPr>
        <w:t xml:space="preserve">para alcanzar el valor a riesgo, presupuesto que aquí queda satisfecho por la determinación judicial del rubro a ese mismo valor.</w:t>
      </w:r>
    </w:p>
    <w:p>
      <w:pPr>
        <w:pStyle w:val="[Normal]"/>
        <w:spacing w:line="360" w:lineRule="auto"/>
        <w:ind w:firstLine="1134"/>
        <w:jc w:val="both"/>
        <w:rPr>
          <w:lang w:val="es-AR" w:eastAsia="es-AR" w:bidi="es-AR"/>
        </w:rPr>
      </w:pPr>
      <w:r>
        <w:rPr>
          <w:lang w:val="es-AR" w:eastAsia="es-AR" w:bidi="es-AR"/>
        </w:rPr>
        <w:t xml:space="preserve">III.2. En cuanto al rubro privación de uso, entiendo que no puede prosperar, ante todo, porque el propio contrato de seguro delimita el riesgo asumido excluyendo expresamente ese tipo de perjuicio. En efecto, la póliza incorpora la cláusula CG–CO 8.1, de emisión obligatoria, que establece que el asegurador no indemnizará los perjuicios que sufra el asegurado por la privación del uso del vehículo, aun cuando ello sea consecuencia de un acontecimiento cubierto.</w:t>
      </w:r>
    </w:p>
    <w:p>
      <w:pPr>
        <w:pStyle w:val="[Normal]"/>
        <w:spacing w:line="360" w:lineRule="auto"/>
        <w:ind w:firstLine="1134"/>
        <w:jc w:val="both"/>
        <w:rPr>
          <w:lang w:val="es-AR" w:eastAsia="es-AR" w:bidi="es-AR"/>
        </w:rPr>
      </w:pPr>
      <w:r>
        <w:rPr>
          <w:lang w:val="es-AR" w:eastAsia="es-AR" w:bidi="es-AR"/>
        </w:rPr>
        <w:t xml:space="preserve">La consecuencia prevista por el art. 56 de la Ley de Seguros, que aquí se tiene por operativa en cuanto importa asunción tácita del siniestro y torna inoponibles defensas liberatorias tardías para declinar la cobertura, no habilita a ampliar el contenido prestacional del contrato ni a crear rubros indemnizatorios que el propio condicionado general excluye. Dicho de otro modo, la aceptación tácita consolida la obligación principal de indemnizar el siniestro cubierto, pero no transforma la póliza en una cobertura “todo daño”, ni neutraliza sin más la delimitación objetiva del riesgo respecto de perjuicios que el asegurador nunca asumió cubrir.</w:t>
      </w:r>
    </w:p>
    <w:p>
      <w:pPr>
        <w:pStyle w:val="[Normal]"/>
        <w:spacing w:line="360" w:lineRule="auto"/>
        <w:ind w:firstLine="1134"/>
        <w:jc w:val="both"/>
        <w:rPr>
          <w:lang w:val="es-AR" w:eastAsia="es-AR" w:bidi="es-AR"/>
        </w:rPr>
      </w:pPr>
      <w:r>
        <w:rPr>
          <w:lang w:val="es-AR" w:eastAsia="es-AR" w:bidi="es-AR"/>
        </w:rPr>
        <w:t xml:space="preserve">A ello se suma que, aun si se intentara reconducir el planteo como un daño emergente derivado del incumplimiento (gastos sustitutivos por movilidad), las constancias disponibles exhiben un sustento probatorio insuficiente para fijar un quantum con mínima objetividad: la parte actora se limita a afirmar que debió movilizarse en remis o con ayuda de terceros y a estimar “prima facie” una suma global, sin respaldo documental individualizado (comprobantes, frecuencia, período, costos), lo que impide superar el plano conjetural y, por ende, torna improcedente su acogimiento.</w:t>
      </w:r>
    </w:p>
    <w:p>
      <w:pPr>
        <w:pStyle w:val="[Normal]"/>
        <w:spacing w:line="360" w:lineRule="auto"/>
        <w:ind w:firstLine="1134"/>
        <w:jc w:val="both"/>
        <w:rPr>
          <w:lang w:val="es-AR" w:eastAsia="es-AR" w:bidi="es-AR"/>
        </w:rPr>
      </w:pPr>
      <w:r>
        <w:rPr>
          <w:lang w:val="es-AR" w:eastAsia="es-AR" w:bidi="es-AR"/>
        </w:rPr>
        <w:t xml:space="preserve">Al respecto, es dable recordar que la concepción de daño que recepta el Código Civil y Comercial comulga con estos postulados. Del juego armónico de los arts. 1737, 1738 y 1741 de dicho cuerpo es posible inferir sin mayor duda que no media una identificación conceptual plena entre el daño jurídico que gira en torno a la lesión y opera como presupuesto de responsabilidad (art. 1737) y el daño indemnizable que se constituye a partir de las consecuencias de tal lesión y se erige como módulo referencial para determinar la procedencia y extensión del resarcimiento (art. 1738 y 1741) (cf. MOREA, Adrián Oscar, Las lesiones temporales y el daño resarcible en el sistema indemnizatorio argentino, Temas de Derecho Civil, Persona y Patrimonio, Ed. Erreius, 2020-9-septiembre). A saber, la mera acreditación del hecho generador de responsabilidad no equivale a la acreditación de las consecuencias del daño.</w:t>
      </w:r>
    </w:p>
    <w:p>
      <w:pPr>
        <w:pStyle w:val="[Normal]"/>
        <w:spacing w:line="360" w:lineRule="auto"/>
        <w:ind w:firstLine="1134"/>
        <w:jc w:val="both"/>
        <w:rPr>
          <w:lang w:val="es-AR" w:eastAsia="es-AR" w:bidi="es-AR"/>
        </w:rPr>
      </w:pPr>
      <w:r>
        <w:rPr>
          <w:lang w:val="es-AR" w:eastAsia="es-AR" w:bidi="es-AR"/>
        </w:rPr>
        <w:t xml:space="preserve">Finalmente, el temperamento adoptado para el daño material -valor de reposición diferido- y el diseño de intereses que lo acompaña buscan precisamente captar el costo financiero de no haber podido sustituir el vehículo en tiempo propio; de manera que admitir, además, una </w:t>
      </w:r>
      <w:r>
        <w:rPr>
          <w:i/>
          <w:lang w:val="es-AR" w:eastAsia="es-AR" w:bidi="es-AR"/>
        </w:rPr>
        <w:t xml:space="preserve">“privación de uso”</w:t>
      </w:r>
      <w:r>
        <w:rPr>
          <w:lang w:val="es-AR" w:eastAsia="es-AR" w:bidi="es-AR"/>
        </w:rPr>
        <w:t xml:space="preserve"> sin soporte probatorio suficiente y frente a la exclusión contractual, conduciría a superponer reparaciones por un mismo menoscabo temporal. Con este alcance, corresponde desestimar el rubro.</w:t>
      </w:r>
    </w:p>
    <w:p>
      <w:pPr>
        <w:pStyle w:val="[Normal]"/>
        <w:spacing w:line="360" w:lineRule="auto"/>
        <w:ind w:firstLine="1134"/>
        <w:jc w:val="both"/>
        <w:rPr>
          <w:lang w:val="es-AR" w:eastAsia="es-AR" w:bidi="es-AR"/>
        </w:rPr>
      </w:pPr>
      <w:r>
        <w:rPr>
          <w:lang w:val="es-AR" w:eastAsia="es-AR" w:bidi="es-AR"/>
        </w:rPr>
        <w:t xml:space="preserve">III.3. En lo relativo al daño moral, cabe partir de la premisa de que el reclamo se inserta en una relación de consumo (contrato de seguro celebrado por personas humanas como destinatarias finales del servicio), lo que impide trasladar sin más el enfoque tradicionalmente restrictivo propio del incumplimiento contractual </w:t>
      </w:r>
      <w:r>
        <w:rPr>
          <w:i/>
          <w:lang w:val="es-AR" w:eastAsia="es-AR" w:bidi="es-AR"/>
        </w:rPr>
        <w:t xml:space="preserve">“paritario”</w:t>
      </w:r>
      <w:r>
        <w:rPr>
          <w:lang w:val="es-AR" w:eastAsia="es-AR" w:bidi="es-AR"/>
        </w:rPr>
        <w:t xml:space="preserve">. En ese ámbito, la jurisprudencia provincial ha venido flexibilizando el criterio, ponderando la especial tutela del consumidor y admitiendo que, verificado el incumplimiento del proveedor en el marco de ese vínculo, se configura una presunción de molestias, incomodidades y aflicciones que exceden la mera contrariedad propia de los incumplimientos ordinarios.</w:t>
      </w:r>
    </w:p>
    <w:p>
      <w:pPr>
        <w:pStyle w:val="[Normal]"/>
        <w:spacing w:line="360" w:lineRule="auto"/>
        <w:ind w:firstLine="1134"/>
        <w:jc w:val="both"/>
        <w:rPr>
          <w:lang w:val="es-AR" w:eastAsia="es-AR" w:bidi="es-AR"/>
        </w:rPr>
      </w:pPr>
      <w:r>
        <w:rPr>
          <w:lang w:val="es-AR" w:eastAsia="es-AR" w:bidi="es-AR"/>
        </w:rPr>
        <w:t xml:space="preserve">En esta línea, la jurisprudencia del Máximo tribunal bonaerense, si bien no desconoce la aplicación restrictiva del daño moral en materia contractual, no ha vacilado en relativizar tal criterio en los últimos tiempos cuando se trata de relaciones de consumo, y así se ha entendido que se debe aplicar un criterio flexible, ya que están en juego los derechos del consumidor, objeto de especial tutela en nuestro régimen constitucional (esta Sala causa nro. 117.024 del 18/12/2018; SCBA LP 115486 S 30/09/2014, CC0002 AZ 62827 85 S 05/06/2018, CC0201 LP 120537 rsd 286/16 S 25/10/201, CC0102 MP 161454 263-S S 03/11/2016, CC0002 QL 16462 113/15 S 07/08/2015, CC0002 QL 16312 49/15 S 16/04/2015, CC0001 LM 213 RSD-25- S 09/09/2004; JUBA; Farina, Juan M., “Defensa del consumidor y del usuario”, Astrea, 2008, p. 481, con cita de C.N.Civ. y Com. Fed., Sala III, 19/02/08, “Borlenghi c. Cubana de Aviación”).-</w:t>
      </w:r>
    </w:p>
    <w:p>
      <w:pPr>
        <w:pStyle w:val="[Normal]"/>
        <w:spacing w:line="360" w:lineRule="auto"/>
        <w:ind w:firstLine="1134"/>
        <w:jc w:val="both"/>
        <w:rPr>
          <w:lang w:val="es-AR" w:eastAsia="es-AR" w:bidi="es-AR"/>
        </w:rPr>
      </w:pPr>
      <w:r>
        <w:rPr>
          <w:lang w:val="es-AR" w:eastAsia="es-AR" w:bidi="es-AR"/>
        </w:rPr>
        <w:t xml:space="preserve">Así pues tratándose de una cuestión derivada de una relación de consumo el incumplimiento de la accionada conlleva </w:t>
      </w:r>
      <w:r>
        <w:rPr>
          <w:i/>
          <w:lang w:val="es-AR" w:eastAsia="es-AR" w:bidi="es-AR"/>
        </w:rPr>
        <w:t xml:space="preserve">"per se" </w:t>
      </w:r>
      <w:r>
        <w:rPr>
          <w:lang w:val="es-AR" w:eastAsia="es-AR" w:bidi="es-AR"/>
        </w:rPr>
        <w:t xml:space="preserve">la presunción de molestias, incomodidades, aflicciones padecidas por la actora (arts. 1, 2, 3, 4, 5, 6, 8, 8bis, 10 bis, 13, 17, 18, 37, 38, 40 y concs. L.D.C.; arts. 1066, 1067, 1078, 1083 y concs. Cód. Civ.; art. 1741 y concs. CCCN; este Tribunal, causa nº 62.827, 05/06/2018, “Barcelonna, María Paula y otro/a vs. Naldo Lombardi S.A. y otro/a s. Daños y perjuicios”).-</w:t>
      </w:r>
    </w:p>
    <w:p>
      <w:pPr>
        <w:pStyle w:val="[Normal]"/>
        <w:spacing w:line="360" w:lineRule="auto"/>
        <w:ind w:firstLine="1134"/>
        <w:jc w:val="both"/>
        <w:rPr>
          <w:lang w:val="es-AR" w:eastAsia="es-AR" w:bidi="es-AR"/>
        </w:rPr>
      </w:pPr>
      <w:r>
        <w:rPr>
          <w:lang w:val="es-AR" w:eastAsia="es-AR" w:bidi="es-AR"/>
        </w:rPr>
        <w:t xml:space="preserve">En la especie, y conforme lo ya decidido al tratar el art. 56 de la Ley de Seguros, la aseguradora incurrió en una conducta omisiva relevante frente al siniestro denunciado, lo que forzó a los actores a transitar reclamos y el proceso judicial para obtener satisfacción de una prestación típicamente alimentada por la expectativa de respuesta rápida ante el evento dañoso. Ese cuadro, por su propia naturaleza, resulta idóneo para producir un menoscabo extrapatrimonial, máxime cuando la parte actora alegó angustia, preocupaciones y malestar anímico derivados tanto de la pérdida del vehículo como del destrato y la reticencia de la demandada a brindar una solución.</w:t>
      </w:r>
    </w:p>
    <w:p>
      <w:pPr>
        <w:pStyle w:val="[Normal]"/>
        <w:spacing w:line="360" w:lineRule="auto"/>
        <w:ind w:firstLine="1134"/>
        <w:jc w:val="both"/>
        <w:rPr>
          <w:lang w:val="es-AR" w:eastAsia="es-AR" w:bidi="es-AR"/>
        </w:rPr>
      </w:pPr>
      <w:r>
        <w:rPr>
          <w:lang w:val="es-AR" w:eastAsia="es-AR" w:bidi="es-AR"/>
        </w:rPr>
        <w:t xml:space="preserve">En tales condiciones, y sin exigir una prueba directa del padecimiento corresponde tener por configurado el presupuesto de procedencia del rubro con apoyo en presunciones judiciales (art. 165 y concs. CPCC), y establecer la nombrada partida indemnizatoria en la suma de $ 3.000.000 con más intereses a una tasa pura del 6% correspondiente al rubro daño patrimonial se aplique desde el 1/12/2020 (fecha en que quedó tácitamente asumida la cobertura por incumplimiento de la carga de pronunciamiento) hasta la presente sentencia y, desde allí en adelante, la tasa pasiva más alta que paga el Banco de la Provincia de Buenos Aires en fijada por el Banco de la Provincia de Buenos Aires en sus depósitos a treinta días, vigente al inicio de cada uno de los períodos comprendidos y, por aquellos días que no alcancen a cubrir el lapso señalado, el cálculo debe ser diario con igual tasa, desde la fecha del hecho dañoso hasta el día de su efectivo pago (conf. arts. 7, 768 inc. c) C.C.C.; 622, 623, Cód. Civ.)" (SCBA, "Vera, Juan Carlos contra Provincia de Buenos Aires. Daños y perjuicios", causa C. 120.536, 18/04/2018; </w:t>
      </w:r>
      <w:r>
        <w:rPr>
          <w:color w:val="000000"/>
          <w:shd w:val="clear" w:color="auto" w:fill="FFFFFF"/>
          <w:lang w:val="es-AR" w:eastAsia="es-AR" w:bidi="es-AR"/>
        </w:rPr>
        <w:t xml:space="preserve">SCJBA, "Nidera S.A. contra Provincia de Buenos Aires. Daños y perjuicios", C. 121.134, 3/5/2018); </w:t>
      </w:r>
      <w:r>
        <w:rPr>
          <w:lang w:val="es-AR" w:eastAsia="es-AR" w:bidi="es-AR"/>
        </w:rPr>
        <w:t xml:space="preserve">SCBA, "Cabrera, Pablo David c/ Ferrari, Adrián Rubén s/ Daños y perjuicios", causa C. 119.176, 15/6/2016).</w:t>
      </w:r>
    </w:p>
    <w:p>
      <w:pPr>
        <w:pStyle w:val="[Normal]"/>
        <w:spacing w:line="360" w:lineRule="auto"/>
        <w:ind w:firstLine="1134"/>
        <w:jc w:val="both"/>
        <w:rPr>
          <w:lang w:val="es-AR" w:eastAsia="es-AR" w:bidi="es-AR"/>
        </w:rPr>
      </w:pPr>
      <w:r>
        <w:rPr>
          <w:lang w:val="es-AR" w:eastAsia="es-AR" w:bidi="es-AR"/>
        </w:rPr>
        <w:t xml:space="preserve">III.4. En lo atinente al daño punitivo, corresponde recordar que su procedencia no deriva automáticamente del mero incumplimiento contractual, aun en relaciones de consumo. El art. 52 bis de la LDC exige un plus de reproche: una conducta objetivamente grave, desaprensiva o deliberadamente indiferente respecto de los derechos del consumidor, que justifique una sanción civil con finalidad preventiva y disuasiva, además de la reparación ordinaria.</w:t>
      </w:r>
    </w:p>
    <w:p>
      <w:pPr>
        <w:pStyle w:val="[Normal]"/>
        <w:spacing w:line="360" w:lineRule="auto"/>
        <w:ind w:firstLine="1134"/>
        <w:jc w:val="both"/>
        <w:rPr>
          <w:lang w:val="es-AR" w:eastAsia="es-AR" w:bidi="es-AR"/>
        </w:rPr>
      </w:pPr>
      <w:r>
        <w:rPr>
          <w:color w:val="000000"/>
          <w:lang w:val="es-AR" w:eastAsia="es-AR" w:bidi="es-AR"/>
        </w:rPr>
        <w:t xml:space="preserve">En sintonía con ello, he de aclarar primeramente que este Tribunal tiene dicho que: </w:t>
      </w:r>
      <w:r>
        <w:rPr>
          <w:i/>
          <w:color w:val="000000"/>
          <w:lang w:val="es-AR" w:eastAsia="es-AR" w:bidi="es-AR"/>
        </w:rPr>
        <w:t xml:space="preserve">"la </w:t>
      </w:r>
      <w:r>
        <w:rPr>
          <w:i/>
          <w:lang w:val="es-AR" w:eastAsia="es-AR" w:bidi="es-AR"/>
        </w:rPr>
        <w:t xml:space="preserve">graduación del daño punitivo constituye una tarea que necesariamente debe vincularse con las funciones del instituto. Esto es: i) sancionar al causante de un daño inadmisible ii) hacer desaparecer los beneficios injustamente obtenidos provenientes de la actividad dañosa, iii) prevenir o evitar el acaecimiento de hechos lesivos similares al que mereciera la punición. Y en la especie, resulta claro que la plataforma fáctica llama a efectivizar tales funciones: 1) la virtualidad sancionatoria ante el cumplimiento tardío de la obligación adeudada, 2) la desaparición de los beneficios injustamente obtenidos, toda vez que al no entregar el auto en cuestión en tiempo oportuno y descargar sobre el consumidor el costo de la espera, el proveedor no se vio envuelto en el infortunio de tener que salir a buscar un producto sustituto en el mercado nacional o extranjero con el consiguiente encarecimiento de la prestación que ello hubiese implicado (en este caso, el enriquericimiento operó por vía negativa, es decir por no disminución del patrimonio en circunstancias en que debió haber mermado), 3) prevenir el acaecimiento de hechos lesivos similares, por cuanto estas dilaciones suelen ser corrientes en el mercado automotriz bajo la modalidad de planes de ahorro"</w:t>
      </w:r>
      <w:r>
        <w:rPr>
          <w:lang w:val="es-AR" w:eastAsia="es-AR" w:bidi="es-AR"/>
        </w:rPr>
        <w:t xml:space="preserve"> (Cf. Cámara de Apelaciones en lo Civil y Comercial de Pergamino, causa N° </w:t>
      </w:r>
      <w:r>
        <w:rPr>
          <w:color w:val="000000"/>
          <w:lang w:val="es-AR" w:eastAsia="es-AR" w:bidi="es-AR"/>
        </w:rPr>
        <w:t xml:space="preserve">5070-23</w:t>
      </w:r>
      <w:r>
        <w:rPr>
          <w:lang w:val="es-AR" w:eastAsia="es-AR" w:bidi="es-AR"/>
        </w:rPr>
        <w:t xml:space="preserve">    caratulada "</w:t>
      </w:r>
      <w:r>
        <w:rPr>
          <w:color w:val="000000"/>
          <w:lang w:val="es-AR" w:eastAsia="es-AR" w:bidi="es-AR"/>
        </w:rPr>
        <w:t xml:space="preserve">BIGLIERI PABLO ERNESTO C/ SAUMA WAGEN SAN ISIDRO S. A. Y OTRO/A S/ CUMPLIMIENTO DE CONTRATOS CIVILES/COMERCIALES</w:t>
      </w:r>
      <w:r>
        <w:rPr>
          <w:lang w:val="es-AR" w:eastAsia="es-AR" w:bidi="es-AR"/>
        </w:rPr>
        <w:t xml:space="preserve">", 29/2/24).</w:t>
      </w:r>
    </w:p>
    <w:p>
      <w:pPr>
        <w:pStyle w:val="[Normal]"/>
        <w:spacing w:line="360" w:lineRule="auto"/>
        <w:ind w:firstLine="1134"/>
        <w:jc w:val="both"/>
        <w:rPr>
          <w:color w:val="000000"/>
          <w:lang w:val="es-AR" w:eastAsia="es-AR" w:bidi="es-AR"/>
        </w:rPr>
      </w:pPr>
      <w:r>
        <w:rPr>
          <w:lang w:val="es-AR" w:eastAsia="es-AR" w:bidi="es-AR"/>
        </w:rPr>
        <w:t xml:space="preserve">En este sentido, </w:t>
      </w:r>
      <w:r>
        <w:rPr>
          <w:color w:val="000000"/>
          <w:lang w:val="es-AR" w:eastAsia="es-AR" w:bidi="es-AR"/>
        </w:rPr>
        <w:t xml:space="preserve">la cuantificación de los daños punitivos constituye una operación tendiente a traducir esta sanción en una expresión numérica.	</w:t>
        <w:br w:type="textWrapping"/>
      </w:r>
      <w:r>
        <w:rPr>
          <w:color w:val="000000"/>
          <w:lang w:val="es-AR" w:eastAsia="es-AR" w:bidi="es-AR"/>
        </w:rPr>
        <w:t xml:space="preserve"> 	Así pues, debemos partir de la base de que cuando hablamos de la valuación de la suma dineraria que se fijará en contra del demandado en concepto de daños punitivos no sólo nos enfrentamos a las dificultades típicas que trae aparejada la cuantificación de un daño (problemas por falta de criterios objetivos para su apreciación, por ausencia de una medida exacta para su ponderación, por insuficiencia de remedios idóneos para conseguir una reparación adecuada, etc.), sino que además nos encontramos con el singular inconveniente de que no nos estamos refiriendo a un daño en sentido estricto.</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color w:val="000000"/>
          <w:sz w:val="24"/>
          <w:lang w:val="es-AR" w:eastAsia="es-AR" w:bidi="es-AR"/>
        </w:rPr>
      </w:pPr>
      <w:r>
        <w:rPr>
          <w:rFonts w:ascii="Arial" w:hAnsi="Arial" w:eastAsia="Arial" w:cs="Arial"/>
          <w:color w:val="000000"/>
          <w:sz w:val="24"/>
          <w:lang w:val="es-AR" w:eastAsia="es-AR" w:bidi="es-AR"/>
        </w:rPr>
        <w:t xml:space="preserve">Sobre esta línea de pensamiento, y teniendo en cuenta las funciones que cumple el instituto, resulta en algunos casos difícil la fijación de pautas estrictamente objetivas para uniformidad a las cifras de condena, habida cuenta de que los principales parámetros que deben ser valorados revisten naturaleza predominantemente cualitativa.	</w:t>
      </w:r>
    </w:p>
    <w:p>
      <w:pPr>
        <w:pStyle w:val="[Normal]"/>
        <w:spacing w:line="360" w:lineRule="auto"/>
        <w:ind w:firstLine="1134"/>
        <w:jc w:val="both"/>
        <w:rPr>
          <w:lang w:val="es-AR" w:eastAsia="es-AR" w:bidi="es-AR"/>
        </w:rPr>
      </w:pPr>
      <w:r>
        <w:rPr>
          <w:color w:val="000000"/>
          <w:lang w:val="es-AR" w:eastAsia="es-AR" w:bidi="es-AR"/>
        </w:rPr>
        <w:t xml:space="preserve">Sin perjuicio de lo expuesto, no puede perderse de vista que, aunque quede librada al prudente arbitrio judicial, la cuantificación de cualquier daño, incluso el punitivo, debe estar debidamente fundada. Así lo dicho la Corte Nacional al sostener que el ejercicio de una facultad discrecional no constituye eximente del deber de fundar el pronunciamiento (</w:t>
      </w:r>
      <w:r>
        <w:rPr>
          <w:lang w:val="es-AR" w:eastAsia="es-AR" w:bidi="es-AR"/>
        </w:rPr>
        <w:t xml:space="preserve">CSJN, Fallos 311:66, 319:1740 y 320:451).</w:t>
      </w:r>
    </w:p>
    <w:p>
      <w:pPr>
        <w:pStyle w:val="[Normal]"/>
        <w:spacing w:line="360" w:lineRule="auto"/>
        <w:ind w:firstLine="1134"/>
        <w:jc w:val="both"/>
        <w:rPr>
          <w:lang w:val="es-AR" w:eastAsia="es-AR" w:bidi="es-AR"/>
        </w:rPr>
      </w:pPr>
      <w:r>
        <w:rPr>
          <w:lang w:val="es-AR" w:eastAsia="es-AR" w:bidi="es-AR"/>
        </w:rPr>
        <w:t xml:space="preserve">En el caso ese plus se configura a partir de dos extremos que ya han quedado asentados en el tratamiento del agravio anterior. </w:t>
        <w:br w:type="textWrapping"/>
      </w:r>
      <w:r>
        <w:rPr>
          <w:lang w:val="es-AR" w:eastAsia="es-AR" w:bidi="es-AR"/>
        </w:rPr>
        <w:t xml:space="preserve"> 	Por un lado, la omisión de pronunciamiento en los términos del art. 56 de la Ley de Seguros frente a un siniestro debidamente denunciado, en un marco donde la aseguradora, por su profesionalidad y organización empresaria, se encuentra en mejores condiciones para verificar, requerir y decidir tempestivamente, evitando mantener al asegurado en incertidumbre.  	Por otro lado, la pretensión de sostener luego defensas documentales para justificar la falta de cobertura, sin acreditación de un requerimiento fehaciente oportuno de información complementaria, traduce una dinámica de postergación y resistencia que no puede ser apreciada como un simple diferendo interpretativo sino como una modalidad de gestión del siniestro incompatible con el estándar de buena fe y trato debido en el mercado asegurador.</w:t>
      </w:r>
    </w:p>
    <w:p>
      <w:pPr>
        <w:pStyle w:val="[Normal]"/>
        <w:spacing w:line="360" w:lineRule="auto"/>
        <w:ind w:firstLine="1134"/>
        <w:jc w:val="both"/>
        <w:rPr>
          <w:lang w:val="es-AR" w:eastAsia="es-AR" w:bidi="es-AR"/>
        </w:rPr>
      </w:pPr>
      <w:r>
        <w:rPr>
          <w:lang w:val="es-AR" w:eastAsia="es-AR" w:bidi="es-AR"/>
        </w:rPr>
        <w:t xml:space="preserve">En términos de política jurídica, admitir el daño punitivo en supuestos como el presente encuentra fundamento en que el silencio del proveedor frente al reclamo asegurativo, cuando el ordenamiento le impone un deber legal de pronunciarse con consecuencias severas, no sólo lesiona al consumidor concreto sino que proyecta un incentivo indeseable: dilatar la decisión y forzar el litigio como mecanismo de “negociación” o desgaste. Esa práctica, además de contraria al deber de colaboración, resulta idónea para obtener ventajas económicas (retener fondos y trasladar costos al reclamante) y por ello habilita la respuesta sancionatoria.</w:t>
      </w:r>
    </w:p>
    <w:p>
      <w:pPr>
        <w:pStyle w:val="[Normal]"/>
        <w:spacing w:line="360" w:lineRule="auto"/>
        <w:ind w:firstLine="1134"/>
        <w:jc w:val="both"/>
        <w:rPr>
          <w:lang w:val="es-AR" w:eastAsia="es-AR" w:bidi="es-AR"/>
        </w:rPr>
      </w:pPr>
      <w:r>
        <w:rPr>
          <w:lang w:val="es-AR" w:eastAsia="es-AR" w:bidi="es-AR"/>
        </w:rPr>
        <w:t xml:space="preserve">Ahora bien, la cuantificación debe conservar proporcionalidad. La multa civil no tiene por objeto </w:t>
      </w:r>
      <w:r>
        <w:rPr>
          <w:i/>
          <w:lang w:val="es-AR" w:eastAsia="es-AR" w:bidi="es-AR"/>
        </w:rPr>
        <w:t xml:space="preserve">“mejorar”</w:t>
      </w:r>
      <w:r>
        <w:rPr>
          <w:lang w:val="es-AR" w:eastAsia="es-AR" w:bidi="es-AR"/>
        </w:rPr>
        <w:t xml:space="preserve"> la indemnización, sino desalentar la reiteración de conductas graves; por ello, corresponde fijarla en un monto prudencial, atendiendo la entidad del incumplimiento verificado (retardo), la posición profesional de la aseguradora y la necesidad de disuasión, evitando duplicaciones indebidas con otros rubros y sin perder de vista que la reparación principal ya se orienta a restituir el valor real de reposición del rodado. Con ese alcance, el rubro daño punitivo deberá admitirse en la suma de $ 2.500.000, con intereses a aplicarse desde cumplido los 10 días posteriores a que quedase firme la presente sentencia hasta el efectivo pago a la tasa pasiva más alta que paga el Banco de la Provincia de Buenos Aires en fijada por el Banco de la Provincia de Buenos Aires en sus depósitos a treinta días, vigente al inicio de cada uno de los períodos comprendidos y, por aquellos días que no alcancen a cubrir el lapso señalado, el cálculo debe ser diario con igual tasa, desde la fecha del hecho dañoso hasta el día de su efectivo pago (conf. arts. 7, 768 inc. c) C.C.C.; 622, 623, Cód. Civ.)" (SCBA, "Cabrera, Pablo David c/ Ferrari, Adrián Rubén s/ Daños y perjuicios", causa C. 119.176, 15/6/2016).</w:t>
      </w:r>
    </w:p>
    <w:p>
      <w:pPr>
        <w:pStyle w:val="[Normal]"/>
        <w:spacing w:line="360" w:lineRule="auto"/>
        <w:ind w:firstLine="1134"/>
        <w:jc w:val="both"/>
        <w:rPr>
          <w:lang w:val="es-AR" w:eastAsia="es-AR" w:bidi="es-AR"/>
        </w:rPr>
      </w:pPr>
      <w:r>
        <w:rPr>
          <w:lang w:val="es-AR" w:eastAsia="es-AR" w:bidi="es-AR"/>
        </w:rPr>
        <w:t xml:space="preserve"> Este mismo criterio ha sido expuesto de manera más amplia en otro precedente que cito a continuación: </w:t>
      </w:r>
      <w:r>
        <w:rPr>
          <w:i/>
          <w:lang w:val="es-AR" w:eastAsia="es-AR" w:bidi="es-AR"/>
        </w:rPr>
        <w:t xml:space="preserve">"En lo que refiere a la fecha de inicio del cómputo de los intereses correspondientes a la sanción punitiva, si bien es cierto que los accesorios debidos por una indemnización de un hecho se deben en principio a partir del mismo, porque es aquél el que fija la mora ex re, posibilitando la indemnización integral que inspira en esta materia a nuestra legislación, lo cierto es que la imposición del art. 52 bis de la norma consumeril carece de naturaleza resarcitoria -no es una indemnización ni tiene por objeto mantener la indemnidad de la víctima- dado que está asociada a la idea de prevención de daños futuros, con neto objetivo sancionatorio (cfr. Vázquez Ferreyra, Roberto "La Naturaleza Jurídica de los Daños Punitivos”, pág. 104 y sgtes. en Revista de Derecho de Daños , 2011-2 Daño Punitivo, Rubinzal - Culzoni Editores; Galdós, Jorge Mario “Los Daños Punitivos en la Ley de Defensa del Consumidor", en "Tratado del Derecho de Consumidor" de Stiglitz-Hernández, Tomo III, pág. 263, Ed. Thomson Reuters La Ley - 2015), y por lo tanto, no está sujeta a aquella pauta general aplicable a los rubros resarcitorios. De ahí entonces que sólo ha de devengar intereses en caso de mora en el cumplimiento del pago de la sanción, la que se produce una vez vencido el plazo estipulado en el fallo para el cumplimiento de la sentencia (cfr. Cámara de Apel. en lo Civ. y Com. de Necochea "Ajargo, Claudio Esteban c. BBVA Banco Francés S.A. s/ daños y perjuicios". 09/06/16 Expte. 10518; Cámara 1ra. de Apelaciones en lo Civil y Comercial de Bahía Blanca, Sala II; in re "C., M. C. c. Banco de Galicia y Buenos Aires S.A. s/ nulidad de acto jurídico", sent. del 28/08/14, publicado en JA, 2014-IV-197; Ídem, Cám. Apelaciones Civil y Com. de Mar del Plata, Sala Tercera, in re "Vignolles María de los Ángeles c/ San Cristóbal Seguros Generales SA s/Daños y Perjuicios - Incumplimiento Contractual (Exc. Estado), reg. int. 264 (S), F° 1329/1347, sent. del 09/12/15)"</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IV.- Por último, abordaré el pedido de la actora para que se declare la inconstitucionalidad de la ley 23.928 y la consecuencia actualización monetaria de los rubros indemnizatorios.-</w:t>
      </w:r>
    </w:p>
    <w:p>
      <w:pPr>
        <w:pStyle w:val="[Normal]"/>
        <w:spacing w:line="360" w:lineRule="auto"/>
        <w:ind w:firstLine="1134"/>
        <w:jc w:val="both"/>
        <w:rPr>
          <w:lang w:val="es-AR" w:eastAsia="es-AR" w:bidi="es-AR"/>
        </w:rPr>
      </w:pPr>
      <w:r>
        <w:rPr>
          <w:lang w:val="es-AR" w:eastAsia="es-AR" w:bidi="es-AR"/>
        </w:rPr>
        <w:t xml:space="preserve">En relación al tramo temporal anterior a la sentencia, entiendo que toda vez que los rubros de referencia han sido establecidos a valores contemporáneos a la fecha de la sentencia (daño moral y punitivo) y en el caso del daño patrimonial la determinación ha sido diferida a un momento ulterior (etapa liquidatoria), no corresponde declarar la inconstitucionalidad de la mentada ley por el referido período, ya que en relación a tal etapa no habría desmedro del contenido económico del crédito merced a la valuación efectuada en el pronunciamiento de mérito.-</w:t>
      </w:r>
    </w:p>
    <w:p>
      <w:pPr>
        <w:pStyle w:val="[Normal]"/>
        <w:spacing w:line="360" w:lineRule="auto"/>
        <w:ind w:firstLine="1134"/>
        <w:jc w:val="both"/>
        <w:rPr>
          <w:lang w:val="es-AR" w:eastAsia="es-AR" w:bidi="es-AR"/>
        </w:rPr>
      </w:pPr>
      <w:r>
        <w:rPr>
          <w:lang w:val="es-AR" w:eastAsia="es-AR" w:bidi="es-AR"/>
        </w:rPr>
        <w:t xml:space="preserve">En lo que concierne al tramo temporal posterior a la sentencia, corresponde subrayar que las vicisitudes económicas que pudieran acaecer durante el tramo comprendido entre el dictado de este pronunciamiento y el efectivo pago de la condena (hoy meramente conjeturales e hipotéticas, especialmente si se tiene en cuenta la gradual desaceleración del índice de inflación operada en el último tiempo), podrán ser oportunamente planteadas y sometidas al escrutinio judicial, en caso de sobrevenir una hipótesis de conflicto constitucional de similares contornos a la evaluada por la Suprema Corte en “Barrios”, circunstancia que, eventualmente, y de verificarse análogos presupuestos formales y sustanciales, podría dar lugar a la adopción de alguno de los mecanismos de conservación del capital allí sopesados por el Alto Cuerpo, en pos de resguardar la integridad del derecho de propiedad del acreedor (conf. arg. consid. V.16.e. y ccds. del fallo citado).  Por lo que considero que la declaración de inconstitucionalidad devino prematura tanto en el momento en que fue dictada como también lo sería en la presente instancia, por lo que no existe actualmente razón suficiente que justifique la confirmación de la declaración de inconstitucionalidad y la solución indexatoria dispuesta por el Tribunal de grado.-</w:t>
      </w:r>
    </w:p>
    <w:p>
      <w:pPr>
        <w:pStyle w:val="[Normal]"/>
        <w:spacing w:line="360" w:lineRule="auto"/>
        <w:ind w:firstLine="1134"/>
        <w:jc w:val="both"/>
        <w:rPr>
          <w:lang w:val="es-AR" w:eastAsia="es-AR" w:bidi="es-AR"/>
        </w:rPr>
      </w:pPr>
      <w:r>
        <w:rPr>
          <w:lang w:val="es-AR" w:eastAsia="es-AR" w:bidi="es-AR"/>
        </w:rPr>
        <w:t xml:space="preserve">A mayor abundamiento, he de señalar que la actualización de un crédito es un mecanismo por medio del cual el objeto de la obligación se expresa a valores corrientes o de acuerdo a parámetros económicos actualizados.  Esto resulta especialmente necesario en contextos en los que transcurre tiempo entre el nacimiento y el cumplimiento de la obligación y una coyuntura inflacionaria altera el poder adquisitivo de la moneda en la que se expresa o se cuantifica la deuda (Cf. Cámara de Apelaciones en lo Civil y Comercial de Mar del Plata, </w:t>
      </w:r>
      <w:r>
        <w:rPr>
          <w:i/>
          <w:lang w:val="es-AR" w:eastAsia="es-AR" w:bidi="es-AR"/>
        </w:rPr>
        <w:t xml:space="preserve">“DOWNIE, Débora Paola c. LA MERCANTIL ANDINA s. CUMPLIMIENTO DE CONTRATO”,</w:t>
      </w:r>
      <w:r>
        <w:rPr>
          <w:lang w:val="es-AR" w:eastAsia="es-AR" w:bidi="es-AR"/>
        </w:rPr>
        <w:t xml:space="preserve"> 18/3/25).-</w:t>
      </w:r>
    </w:p>
    <w:p>
      <w:pPr>
        <w:pStyle w:val="[Normal]"/>
        <w:spacing w:line="360" w:lineRule="auto"/>
        <w:ind w:firstLine="1134"/>
        <w:jc w:val="both"/>
        <w:rPr>
          <w:lang w:val="es-AR" w:eastAsia="es-AR" w:bidi="es-AR"/>
        </w:rPr>
      </w:pPr>
      <w:r>
        <w:rPr>
          <w:lang w:val="es-AR" w:eastAsia="es-AR" w:bidi="es-AR"/>
        </w:rPr>
        <w:t xml:space="preserve">Pero esa actualización, como género, contempla diversas especies.-</w:t>
      </w:r>
    </w:p>
    <w:p>
      <w:pPr>
        <w:pStyle w:val="[Normal]"/>
        <w:spacing w:line="360" w:lineRule="auto"/>
        <w:ind w:firstLine="1134"/>
        <w:jc w:val="both"/>
        <w:rPr>
          <w:lang w:val="es-AR" w:eastAsia="es-AR" w:bidi="es-AR"/>
        </w:rPr>
      </w:pPr>
      <w:r>
        <w:rPr>
          <w:lang w:val="es-AR" w:eastAsia="es-AR" w:bidi="es-AR"/>
        </w:rPr>
        <w:t xml:space="preserve">Una es el reajuste o actualización por índices en la que el valor nominal del capital fluctúa al son de un parámetro o índice que opera como referencia externa, modalidad actualmente prohibida por los art. 7 y 10 de la Ley 23.928 y que ha sido declarada inconstitucional en el fallo "Barrios" conforme a las especiales circunstancias que se verificasen en dicha causa.-</w:t>
      </w:r>
    </w:p>
    <w:p>
      <w:pPr>
        <w:pStyle w:val="[Normal]"/>
        <w:spacing w:line="360" w:lineRule="auto"/>
        <w:ind w:firstLine="1134"/>
        <w:jc w:val="both"/>
        <w:rPr>
          <w:lang w:val="es-AR" w:eastAsia="es-AR" w:bidi="es-AR"/>
        </w:rPr>
      </w:pPr>
      <w:r>
        <w:rPr>
          <w:lang w:val="es-AR" w:eastAsia="es-AR" w:bidi="es-AR"/>
        </w:rPr>
        <w:t xml:space="preserve">Otra es la valuación del daño a valores contemporáneos a la fecha de la sentencia (SCBA, "Vera, Juan Carlos contra Provincia de Buenos Aires. Daños y perjuicios", causa C. 120.536, 18/04/2018; </w:t>
      </w:r>
      <w:r>
        <w:rPr>
          <w:color w:val="000000"/>
          <w:shd w:val="clear" w:color="auto" w:fill="FFFFFF"/>
          <w:lang w:val="es-AR" w:eastAsia="es-AR" w:bidi="es-AR"/>
        </w:rPr>
        <w:t xml:space="preserve">SCJBA, "Nidera S. A. contra Provincia de Buenos Aires. Daños y perjuicios", C. 121.134, 3/5/2018) </w:t>
      </w:r>
      <w:r>
        <w:rPr>
          <w:lang w:val="es-AR" w:eastAsia="es-AR" w:bidi="es-AR"/>
        </w:rPr>
        <w:t xml:space="preserve">o difiriendo la valuación del daño a un momento ulterior (SCBA, entre muchísimos otros, véase c. 101.107 -“</w:t>
      </w:r>
      <w:r>
        <w:rPr>
          <w:i/>
          <w:lang w:val="es-AR" w:eastAsia="es-AR" w:bidi="es-AR"/>
        </w:rPr>
        <w:t xml:space="preserve">Arbizu</w:t>
      </w:r>
      <w:r>
        <w:rPr>
          <w:lang w:val="es-AR" w:eastAsia="es-AR" w:bidi="es-AR"/>
        </w:rPr>
        <w:t xml:space="preserve">...”- del 23/03/2010 c. 117735 -"</w:t>
      </w:r>
      <w:r>
        <w:rPr>
          <w:i/>
          <w:lang w:val="es-AR" w:eastAsia="es-AR" w:bidi="es-AR"/>
        </w:rPr>
        <w:t xml:space="preserve">Bi Launek</w:t>
      </w:r>
      <w:r>
        <w:rPr>
          <w:lang w:val="es-AR" w:eastAsia="es-AR" w:bidi="es-AR"/>
        </w:rPr>
        <w:t xml:space="preserve">"- del 24/09/2014, c. 117501 -"</w:t>
      </w:r>
      <w:r>
        <w:rPr>
          <w:i/>
          <w:lang w:val="es-AR" w:eastAsia="es-AR" w:bidi="es-AR"/>
        </w:rPr>
        <w:t xml:space="preserve">Martinez</w:t>
      </w:r>
      <w:r>
        <w:rPr>
          <w:lang w:val="es-AR" w:eastAsia="es-AR" w:bidi="es-AR"/>
        </w:rPr>
        <w:t xml:space="preserve">"- del 04/03/2015).  En ambas, campea la noción de deuda de valor que, con el claro propósito de evitar las distorsiones que genera el nominalismo en coyunturas inflacionarias— permite concebir al objeto debido como un </w:t>
      </w:r>
      <w:r>
        <w:rPr>
          <w:i/>
          <w:lang w:val="es-AR" w:eastAsia="es-AR" w:bidi="es-AR"/>
        </w:rPr>
        <w:t xml:space="preserve">quid </w:t>
      </w:r>
      <w:r>
        <w:rPr>
          <w:lang w:val="es-AR" w:eastAsia="es-AR" w:bidi="es-AR"/>
        </w:rPr>
        <w:t xml:space="preserve">o </w:t>
      </w:r>
      <w:r>
        <w:rPr>
          <w:i/>
          <w:lang w:val="es-AR" w:eastAsia="es-AR" w:bidi="es-AR"/>
        </w:rPr>
        <w:t xml:space="preserve">valor </w:t>
      </w:r>
      <w:r>
        <w:rPr>
          <w:lang w:val="es-AR" w:eastAsia="es-AR" w:bidi="es-AR"/>
        </w:rPr>
        <w:t xml:space="preserve">a ser cuantificado en un momento posterior al nacimiento de la deuda o incluso expresarlo en una moneda sin curso legal.-</w:t>
      </w:r>
    </w:p>
    <w:p>
      <w:pPr>
        <w:pStyle w:val="[Normal]"/>
        <w:spacing w:line="360" w:lineRule="auto"/>
        <w:ind w:firstLine="1134"/>
        <w:jc w:val="both"/>
        <w:rPr>
          <w:lang w:val="es-AR" w:eastAsia="es-AR" w:bidi="es-AR"/>
        </w:rPr>
      </w:pPr>
      <w:r>
        <w:rPr>
          <w:lang w:val="es-AR" w:eastAsia="es-AR" w:bidi="es-AR"/>
        </w:rPr>
        <w:t xml:space="preserve">Finalmente, la solución tradicional ha sido procurar dicha actualización mediante el uso de una tasa de interés moratoria como mecanismo indirecto de actualización (CSJN Fallos: 347:1446, in re “</w:t>
      </w:r>
      <w:r>
        <w:rPr>
          <w:i/>
          <w:lang w:val="es-AR" w:eastAsia="es-AR" w:bidi="es-AR"/>
        </w:rPr>
        <w:t xml:space="preserve">Barrientos, Gabriela </w:t>
      </w:r>
      <w:r>
        <w:rPr>
          <w:lang w:val="es-AR" w:eastAsia="es-AR" w:bidi="es-AR"/>
        </w:rPr>
        <w:t xml:space="preserve">“, del 15/10/2024).-</w:t>
      </w:r>
    </w:p>
    <w:p>
      <w:pPr>
        <w:pStyle w:val="[Normal]"/>
        <w:spacing w:line="360" w:lineRule="auto"/>
        <w:ind w:firstLine="1134"/>
        <w:jc w:val="both"/>
        <w:rPr>
          <w:lang w:val="es-AR" w:eastAsia="es-AR" w:bidi="es-AR"/>
        </w:rPr>
      </w:pPr>
      <w:r>
        <w:rPr>
          <w:lang w:val="es-AR" w:eastAsia="es-AR" w:bidi="es-AR"/>
        </w:rPr>
        <w:t xml:space="preserve">Con lo expuesto, queda en evidencia que actualizar no necesariamente supone repotenciar o reajustar por índices, toda vez que se puede llegar al primer resultado (actualización) a través de distintas vías o métodos.-</w:t>
      </w:r>
    </w:p>
    <w:p>
      <w:pPr>
        <w:pStyle w:val="[Normal]"/>
        <w:spacing w:line="360" w:lineRule="auto"/>
        <w:ind w:firstLine="1134"/>
        <w:jc w:val="both"/>
        <w:rPr>
          <w:i/>
          <w:lang w:val="es-AR" w:eastAsia="es-AR" w:bidi="es-AR"/>
        </w:rPr>
      </w:pPr>
      <w:r>
        <w:rPr>
          <w:lang w:val="es-AR" w:eastAsia="es-AR" w:bidi="es-AR"/>
        </w:rPr>
        <w:t xml:space="preserve">La conveniencia de indexar un crédito (en contraste con utilizar tasas bancarias sobre el tramo dinerario de una deuda de valor ya cuantificada) dependerá de las características del caso, de numerosas variables macroeconómicas y de la extensión temporal de la mora, entre otras variables.  En particular, depende de cuándo el valor fue convertido a dinero, cuándo se cancela la deuda, cómo es la evolución comparada de las tasas y el IPC en los períodos posteriores a la conversión, etcétera.  Con un índice de inflación decreciente no son pocos los escenarios en los que al actor le conviene que a su deuda de valor ya convertida en dinero se le incorpore una tasa de interés activa en contraste con el mero reajuste por índices y una tasa pura del 6% anual (cf. cit. Cámara de Apelaciones en lo Civil y Comercial de Mar del Plata, </w:t>
      </w:r>
      <w:r>
        <w:rPr>
          <w:i/>
          <w:lang w:val="es-AR" w:eastAsia="es-AR" w:bidi="es-AR"/>
        </w:rPr>
        <w:t xml:space="preserve">“DOWNIE...").-</w:t>
      </w:r>
    </w:p>
    <w:p>
      <w:pPr>
        <w:pStyle w:val="[Normal]"/>
        <w:spacing w:line="360" w:lineRule="auto"/>
        <w:ind w:firstLine="1134"/>
        <w:jc w:val="both"/>
        <w:rPr>
          <w:i/>
          <w:lang w:val="es-AR" w:eastAsia="es-AR" w:bidi="es-AR"/>
        </w:rPr>
      </w:pPr>
      <w:r>
        <w:rPr>
          <w:lang w:val="es-AR" w:eastAsia="es-AR" w:bidi="es-AR"/>
        </w:rPr>
        <w:t xml:space="preserve">En este sentido, bien se ha dicho que:</w:t>
      </w:r>
      <w:r>
        <w:rPr>
          <w:i/>
          <w:lang w:val="es-AR" w:eastAsia="es-AR" w:bidi="es-AR"/>
        </w:rPr>
        <w:t xml:space="preserve"> "la aplicación automatizada de indexaciones no reclamadas por el titular del crédito, sin evaluar su resultado en cada caso concreto (según la evolución de las tasas e índices en los períodos implicados), constituye una práctica potencialmente problemática que incrementa un doble riesgo: (a) el primero, dictar decisiones incongruentes que afecten derechos fundamentales de los litigantes; (b) el segundo, asignarle a la jurisdicción un rol institucional que no le es propio, pues el juzgador termina por prescindir de la voluntad del titular de un derecho patrimonial disponible (quien, asesorado por un abogado de matrícula, elige libremente cómo proteger su acreencia frente a la inflación) y la reemplaza por una decisión estatal oficiosa que, paradójicamente, tiene aptitud para perjudicar o empeorar la situación de aquel a quien se intenta proteger (arts. 18 CN y 15 CPBA; mi voto en causa 170768 -"Banco de la Provincia de Buenos Aires c/ Cambre, Mauro"- sent. del 12/03/2021)"</w:t>
      </w:r>
      <w:r>
        <w:rPr>
          <w:lang w:val="es-AR" w:eastAsia="es-AR" w:bidi="es-AR"/>
        </w:rPr>
        <w:t xml:space="preserve"> (cit . Cámara de Apelaciones en lo Civil y Comercial de Mar del Plata, </w:t>
      </w:r>
      <w:r>
        <w:rPr>
          <w:i/>
          <w:lang w:val="es-AR" w:eastAsia="es-AR" w:bidi="es-AR"/>
        </w:rPr>
        <w:t xml:space="preserve">“DOWNIE...").-</w:t>
      </w:r>
    </w:p>
    <w:p>
      <w:pPr>
        <w:pStyle w:val="[Normal]"/>
        <w:spacing w:line="360" w:lineRule="auto"/>
        <w:ind w:firstLine="1134"/>
        <w:jc w:val="both"/>
        <w:rPr>
          <w:lang w:val="es-AR" w:eastAsia="es-AR" w:bidi="es-AR"/>
        </w:rPr>
      </w:pPr>
      <w:r>
        <w:rPr>
          <w:lang w:val="es-AR" w:eastAsia="es-AR" w:bidi="es-AR"/>
        </w:rPr>
        <w:t xml:space="preserve">Finalmente, debe recordarse que la declaración de inconstitucionalidad (de ineludible aplicación a los fines de actualizar vía indexación) constituye una solución extrema que debe ceder ante la posibilidad de articular otros mecanismos que permitan arribar a una respuesta jurídica no lesiva de los derechos y garantías constitucionales.-</w:t>
      </w:r>
    </w:p>
    <w:p>
      <w:pPr>
        <w:pStyle w:val="[Normal]"/>
        <w:spacing w:line="360" w:lineRule="auto"/>
        <w:ind w:firstLine="1134"/>
        <w:jc w:val="both"/>
        <w:rPr>
          <w:lang w:val="es-AR" w:eastAsia="es-AR" w:bidi="es-AR"/>
        </w:rPr>
      </w:pPr>
      <w:r>
        <w:rPr>
          <w:lang w:val="es-AR" w:eastAsia="es-AR" w:bidi="es-AR"/>
        </w:rPr>
        <w:t xml:space="preserve">En relación a ello, y vinculado a la temática en ciernes, la Corte Suprema de Justicia de la Provincia de Buenos Aires, en el caso </w:t>
      </w:r>
      <w:r>
        <w:rPr>
          <w:i/>
          <w:lang w:val="es-AR" w:eastAsia="es-AR" w:bidi="es-AR"/>
        </w:rPr>
        <w:t xml:space="preserve">"Barrios"</w:t>
      </w:r>
      <w:r>
        <w:rPr>
          <w:lang w:val="es-AR" w:eastAsia="es-AR" w:bidi="es-AR"/>
        </w:rPr>
        <w:t xml:space="preserve"> -que ya fuera citado-, estableció claramente que la declaración de inconstitucionalidad del artículo 7 de la ley 23.928 (que prohíbe la indexación) debe ser considerada como la última ratio. Antes de recurrir a esta medida excepcional, los jueces deben agotar otras alternativas y mecanismos legales disponibles para proteger el crédito afectado por la inflación.-</w:t>
      </w:r>
    </w:p>
    <w:p>
      <w:pPr>
        <w:pStyle w:val="[Normal]"/>
        <w:spacing w:line="360" w:lineRule="auto"/>
        <w:ind w:firstLine="1134"/>
        <w:jc w:val="both"/>
        <w:rPr>
          <w:lang w:val="es-AR" w:eastAsia="es-AR" w:bidi="es-AR"/>
        </w:rPr>
      </w:pPr>
      <w:r>
        <w:rPr>
          <w:lang w:val="es-AR" w:eastAsia="es-AR" w:bidi="es-AR"/>
        </w:rPr>
        <w:t xml:space="preserve">Según el fallo, los jueces tienen mayor libertad para definir el mecanismo de protección del crédito mientras se debate en el proceso.  No solo pueden, sino que deben preferir cualquier solución no indexatoria, incluso mediante la aplicación analógica de normas.  La solución constitucional, es decir, la declaración de inconstitucionalidad y el reajuste del crédito por índice, fue, es y seguirá siendo la última opción disponible.-</w:t>
      </w:r>
    </w:p>
    <w:p>
      <w:pPr>
        <w:pStyle w:val="[Normal]"/>
        <w:spacing w:line="360" w:lineRule="auto"/>
        <w:ind w:firstLine="1134"/>
        <w:jc w:val="both"/>
        <w:rPr>
          <w:lang w:val="es-AR" w:eastAsia="es-AR" w:bidi="es-AR"/>
        </w:rPr>
      </w:pPr>
      <w:r>
        <w:rPr>
          <w:lang w:val="es-AR" w:eastAsia="es-AR" w:bidi="es-AR"/>
        </w:rPr>
        <w:t xml:space="preserve">El ministro Soria ha sido enfático en este punto, indicando que solo excepcionalmente, y cuando esas herramientas o caminos alternativos no logren el fin propuesto y decanten en una intolerable afectación del derecho creditorio del actor, puede el tribunal declarar la inconstitucionalidad del art. 7 de la Ley 23.928, y siempre que las demás condiciones del caso lo justifiquen.-</w:t>
      </w:r>
    </w:p>
    <w:p>
      <w:pPr>
        <w:pStyle w:val="[Normal]"/>
        <w:spacing w:line="360" w:lineRule="auto"/>
        <w:ind w:firstLine="1134"/>
        <w:jc w:val="both"/>
        <w:rPr>
          <w:lang w:val="es-AR" w:eastAsia="es-AR" w:bidi="es-AR"/>
        </w:rPr>
      </w:pPr>
      <w:r>
        <w:rPr>
          <w:lang w:val="es-AR" w:eastAsia="es-AR" w:bidi="es-AR"/>
        </w:rPr>
        <w:t xml:space="preserve">En virtud de ello, y atento a que no se ha logrado demostrar la ineficacia y/o insuficiencia de las restantes alternativas de actualización, propiciaré que se deje sin efecto la declaración de inconstitucionalidad y consecuente actualización dispuesta en la instancia de grado.-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Hacer lugar parcialmente al recurso de apelación interpuesto por la parte actora, declarando la responsabilidad de la parte demandada por incumplimiento contractual y condenando a la misma al pago de los rubros daño material, moral y punitivo por las sumas indemnizatorias dispuestos en los considerandos III.1, III.3 y III.4 respectivamente, con sus correspondientes accesorios conforme fueran determinados en los considerandos aludidos.</w:t>
      </w:r>
    </w:p>
    <w:p>
      <w:pPr>
        <w:pStyle w:val="[Normal]"/>
        <w:spacing w:line="360" w:lineRule="auto"/>
        <w:ind w:firstLine="1134"/>
        <w:jc w:val="both"/>
        <w:rPr>
          <w:lang w:val="es-AR" w:eastAsia="es-AR" w:bidi="es-AR"/>
        </w:rPr>
      </w:pPr>
      <w:r>
        <w:rPr>
          <w:lang w:val="es-AR" w:eastAsia="es-AR" w:bidi="es-AR"/>
        </w:rPr>
        <w:t xml:space="preserve">2) Readecuar las costas de primera instancia estableciendo la totalidad de las mismas sobre la parte demandada (art. 68/9 y 274 del CPCCBA).</w:t>
      </w:r>
    </w:p>
    <w:p>
      <w:pPr>
        <w:pStyle w:val="[Normal]"/>
        <w:spacing w:line="360" w:lineRule="auto"/>
        <w:ind w:firstLine="1134"/>
        <w:jc w:val="both"/>
        <w:rPr>
          <w:lang w:val="es-AR" w:eastAsia="es-AR" w:bidi="es-AR"/>
        </w:rPr>
      </w:pPr>
      <w:r>
        <w:rPr>
          <w:lang w:val="es-AR" w:eastAsia="es-AR" w:bidi="es-AR"/>
        </w:rPr>
        <w:t xml:space="preserve">3) Imponer las costas de Alzada a la demandada vencida (art. 68/9  del CPCCBA).-</w:t>
      </w:r>
    </w:p>
    <w:p>
      <w:pPr>
        <w:pStyle w:val="[Normal]"/>
        <w:spacing w:line="360" w:lineRule="auto"/>
        <w:ind w:firstLine="1134"/>
        <w:jc w:val="both"/>
        <w:rPr>
          <w:lang w:val="es-AR" w:eastAsia="es-AR" w:bidi="es-AR"/>
        </w:rPr>
      </w:pPr>
      <w:r>
        <w:rPr>
          <w:lang w:val="es-AR" w:eastAsia="es-AR" w:bidi="es-AR"/>
        </w:rPr>
        <w:t xml:space="preserve">4) Diferir la regulación de honorarios para su oportunidad respectiva (art. 31 de la ley 14.967).-</w:t>
      </w:r>
    </w:p>
    <w:p>
      <w:pPr>
        <w:pStyle w:val="[Normal]"/>
        <w:spacing w:line="360" w:lineRule="auto"/>
        <w:ind w:firstLine="1134"/>
        <w:jc w:val="both"/>
        <w:rPr>
          <w:lang w:val="es-AR" w:eastAsia="es-AR" w:bidi="es-AR"/>
        </w:rPr>
      </w:pPr>
      <w:r>
        <w:rPr>
          <w:lang w:val="es-AR" w:eastAsia="es-AR" w:bidi="es-AR"/>
        </w:rPr>
        <w:t xml:space="preserve"> </w:t>
      </w: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Hacer lugar parcialmente al recurso de apelación interpuesto por la parte actora, declarando la responsabilidad de la parte demandada por incumplimiento contractual y condenando a la misma al pago de los rubros daño material, moral y punitivo por las sumas indemnizatorias dispuestos en los considerandos III.1, III.3 y III.4 respectivamente, con sus correspondientes accesorios conforme fueran determinados en los considerandos aludidos.</w:t>
      </w:r>
    </w:p>
    <w:p>
      <w:pPr>
        <w:pStyle w:val="[Normal]"/>
        <w:spacing w:line="360" w:lineRule="auto"/>
        <w:ind w:firstLine="1134"/>
        <w:jc w:val="both"/>
        <w:rPr>
          <w:lang w:val="es-AR" w:eastAsia="es-AR" w:bidi="es-AR"/>
        </w:rPr>
      </w:pPr>
      <w:r>
        <w:rPr>
          <w:lang w:val="es-AR" w:eastAsia="es-AR" w:bidi="es-AR"/>
        </w:rPr>
        <w:t xml:space="preserve">2) Readecuar las costas de primera instancia estableciendo la totalidad de las mismas sobre la parte demandada (art. 68/9 y 274 del CPCCBA).</w:t>
      </w:r>
    </w:p>
    <w:p>
      <w:pPr>
        <w:pStyle w:val="[Normal]"/>
        <w:spacing w:line="360" w:lineRule="auto"/>
        <w:ind w:firstLine="1134"/>
        <w:jc w:val="both"/>
        <w:rPr>
          <w:lang w:val="es-AR" w:eastAsia="es-AR" w:bidi="es-AR"/>
        </w:rPr>
      </w:pPr>
      <w:r>
        <w:rPr>
          <w:lang w:val="es-AR" w:eastAsia="es-AR" w:bidi="es-AR"/>
        </w:rPr>
        <w:t xml:space="preserve">3) Imponer las costas de Alzada a la demandada vencida (art. 68/9  del CPCCBA).-</w:t>
      </w:r>
    </w:p>
    <w:p>
      <w:pPr>
        <w:pStyle w:val="[Normal]"/>
        <w:spacing w:line="360" w:lineRule="auto"/>
        <w:ind w:firstLine="1134"/>
        <w:jc w:val="both"/>
        <w:rPr>
          <w:lang w:val="es-AR" w:eastAsia="es-AR" w:bidi="es-AR"/>
        </w:rPr>
      </w:pPr>
      <w:r>
        <w:rPr>
          <w:lang w:val="es-AR" w:eastAsia="es-AR" w:bidi="es-AR"/>
        </w:rPr>
        <w:t xml:space="preserve">4) Diferir la regulación de honorarios para su oportunidad respectiva (art. 31 de la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360" w:lineRule="auto"/>
        <w:ind w:firstLine="1134"/>
        <w:jc w:val="both"/>
        <w:rPr>
          <w:lang w:val="es-AR" w:eastAsia="es-AR" w:bidi="es-AR"/>
        </w:rPr>
      </w:pP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20245244127@NOTIFICACIONES.SCBA.GOV.AR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20243296030@NOTIFICACIONES.SCBA.GOV.AR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27290533916@NOTIFICACIONES.SCBA.GOV.AR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17/03/2026 10:11:42 -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17/03/2026 10:31:45 -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17/03/2026 11:34:57 -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‰7,")è&amp;p?UiŠ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231202090006803153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17/03/2026 11:35:17 hs. bajo el número RS-30-2026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Times New Roman" w:hAnsi="Times New Roman" w:eastAsia="Times New Roman" w:cs="Times New Roman"/>
      <w:b w:val="off"/>
      <w:bCs w:val="off"/>
      <w:i w:val="off"/>
      <w:iCs w:val="off"/>
      <w:strike w:val="off"/>
      <w:color w:val="auto"/>
      <w:position w:val="0"/>
      <w:sz w:val="22"/>
      <w:szCs w:val="22"/>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