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5906-25</w:t>
      </w:r>
      <w:r>
        <w:rPr>
          <w:lang w:val="es-AR" w:eastAsia="es-AR" w:bidi="es-AR"/>
        </w:rPr>
        <w:t xml:space="preserve"> caratulada </w:t>
      </w:r>
      <w:r>
        <w:rPr>
          <w:b/>
          <w:lang w:val="es-AR" w:eastAsia="es-AR" w:bidi="es-AR"/>
        </w:rPr>
        <w:t xml:space="preserve">"</w:t>
      </w:r>
      <w:r>
        <w:rPr>
          <w:b/>
          <w:color w:val="000000"/>
          <w:lang w:val="es-AR" w:eastAsia="es-AR" w:bidi="es-AR"/>
        </w:rPr>
        <w:t xml:space="preserve">PEREZ FRANCISCO MAXIMO Y OTRO/A S/ SUCESION AB-INTESTATO</w:t>
      </w:r>
      <w:r>
        <w:rPr>
          <w:b/>
          <w:lang w:val="es-AR" w:eastAsia="es-AR" w:bidi="es-AR"/>
        </w:rPr>
        <w:t xml:space="preserve">"</w:t>
      </w:r>
      <w:r>
        <w:rPr>
          <w:lang w:val="es-AR" w:eastAsia="es-AR" w:bidi="es-AR"/>
        </w:rPr>
        <w:t xml:space="preserve">, Expte. N° 80359</w:t>
      </w:r>
      <w:r>
        <w:rPr>
          <w:color w:val="000000"/>
          <w:lang w:val="es-AR" w:eastAsia="es-AR" w:bidi="es-AR"/>
        </w:rPr>
        <w:t xml:space="preserve"> </w:t>
      </w:r>
      <w:r>
        <w:rPr>
          <w:lang w:val="es-AR" w:eastAsia="es-AR" w:bidi="es-AR"/>
        </w:rPr>
        <w:t xml:space="preserve">del Juzgado Civil y Comercial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decretó la falta de legitimación de Francisco Joel y Timoteo Daniel Pérez para presentarse en representación de su padre, Francisco Daniel Pérez en la sucesión de su abuelo -Pérez Francisco Máximo-.</w:t>
      </w:r>
    </w:p>
    <w:p>
      <w:pPr>
        <w:pStyle w:val="[Normal]"/>
        <w:spacing w:line="360" w:lineRule="auto"/>
        <w:jc w:val="both"/>
        <w:rPr>
          <w:lang w:val="es-AR" w:eastAsia="es-AR" w:bidi="es-AR"/>
        </w:rPr>
      </w:pPr>
      <w:r>
        <w:rPr>
          <w:lang w:val="es-AR" w:eastAsia="es-AR" w:bidi="es-AR"/>
        </w:rPr>
        <w:t xml:space="preserve">	Para así decidir, consideró que en relación al Sr. Francisco Daniel Pérez (hijo de los causantes de autos y progenitor de los recurrentes) se encuentra iniciado un juicio de ausencia con presunción de fallecimiento, por lo que la legitimación de los peticionarios para intervenir en las presentes actuaciones se encuentra subordinada a la obtención de una sentencia favorable en dicho expediente, cuyo trámite se encuentra aún pendiente de resolución.</w:t>
      </w:r>
    </w:p>
    <w:p>
      <w:pPr>
        <w:pStyle w:val="[Normal]"/>
        <w:spacing w:line="360" w:lineRule="auto"/>
        <w:ind w:firstLine="1134"/>
        <w:jc w:val="both"/>
        <w:rPr>
          <w:lang w:val="es-AR" w:eastAsia="es-AR" w:bidi="es-AR"/>
        </w:rPr>
      </w:pPr>
      <w:r>
        <w:rPr>
          <w:lang w:val="es-AR" w:eastAsia="es-AR" w:bidi="es-AR"/>
        </w:rPr>
        <w:t xml:space="preserve">Disconforme con lo resuelto deducen recurso de revocatoria con apelación en subsidio Francisco Joel y Timoteo Daniel Pérez mediante presentación electrónica de fecha 8-10-2025. Rechazada la revocatoria, se concede la apelación subsidiaria, habiendo la heredera Vilma Rut Pérez contestado el traslado conferido el 31-10-2025.-</w:t>
      </w:r>
    </w:p>
    <w:p>
      <w:pPr>
        <w:pStyle w:val="[Normal]"/>
        <w:spacing w:line="360" w:lineRule="auto"/>
        <w:ind w:firstLine="1134"/>
        <w:jc w:val="both"/>
        <w:rPr>
          <w:lang w:val="es-AR" w:eastAsia="es-AR" w:bidi="es-AR"/>
        </w:rPr>
      </w:pPr>
      <w:r>
        <w:rPr>
          <w:lang w:val="es-AR" w:eastAsia="es-AR" w:bidi="es-AR"/>
        </w:rPr>
        <w:t xml:space="preserve">Elevados los autos a esta Alzada, en fecha 11-11-2025 se dicta el llamamiento de autos para resolver providencia que estando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Centran su queja los apelantes en la resolución que les negó intervención en las presentes actuaciones por considerar que carecen de legitimación.-</w:t>
      </w:r>
    </w:p>
    <w:p>
      <w:pPr>
        <w:pStyle w:val="[Normal]"/>
        <w:spacing w:line="360" w:lineRule="auto"/>
        <w:ind w:firstLine="1134"/>
        <w:jc w:val="both"/>
        <w:rPr>
          <w:lang w:val="es-AR" w:eastAsia="es-AR" w:bidi="es-AR"/>
        </w:rPr>
      </w:pPr>
      <w:r>
        <w:rPr>
          <w:lang w:val="es-AR" w:eastAsia="es-AR" w:bidi="es-AR"/>
        </w:rPr>
        <w:t xml:space="preserve">Explican que de decretarse el fallecimiento presunto, les correspondería representar a su padre en la presente sucesión; mientras que si tal declaración no se produjera, aquél podría comparecer por sí.-</w:t>
      </w:r>
    </w:p>
    <w:p>
      <w:pPr>
        <w:pStyle w:val="[Normal]"/>
        <w:spacing w:line="360" w:lineRule="auto"/>
        <w:ind w:firstLine="1134"/>
        <w:jc w:val="both"/>
        <w:rPr>
          <w:lang w:val="es-AR" w:eastAsia="es-AR" w:bidi="es-AR"/>
        </w:rPr>
      </w:pPr>
      <w:r>
        <w:rPr>
          <w:lang w:val="es-AR" w:eastAsia="es-AR" w:bidi="es-AR"/>
        </w:rPr>
        <w:t xml:space="preserve"> Aclaran que no pretenden ser tenidos por herederos en esta etapa, sino que se reconozca la existencia y eventual derecho de su padre y, en su caso, su derecho a actuar en su representación.-</w:t>
      </w:r>
    </w:p>
    <w:p>
      <w:pPr>
        <w:pStyle w:val="[Normal]"/>
        <w:spacing w:line="360" w:lineRule="auto"/>
        <w:ind w:firstLine="1134"/>
        <w:jc w:val="both"/>
        <w:rPr>
          <w:lang w:val="es-AR" w:eastAsia="es-AR" w:bidi="es-AR"/>
        </w:rPr>
      </w:pPr>
      <w:r>
        <w:rPr>
          <w:lang w:val="es-AR" w:eastAsia="es-AR" w:bidi="es-AR"/>
        </w:rPr>
        <w:t xml:space="preserve">Sostienen que la resolución impugnada vulnera el derecho a reclamar la participación que pudiera corresponder a su padre o a ellos en carácter representativo.-</w:t>
      </w:r>
    </w:p>
    <w:p>
      <w:pPr>
        <w:pStyle w:val="[Normal]"/>
        <w:spacing w:line="360" w:lineRule="auto"/>
        <w:ind w:firstLine="1134"/>
        <w:jc w:val="both"/>
        <w:rPr>
          <w:lang w:val="es-AR" w:eastAsia="es-AR" w:bidi="es-AR"/>
        </w:rPr>
      </w:pPr>
      <w:r>
        <w:rPr>
          <w:lang w:val="es-AR" w:eastAsia="es-AR" w:bidi="es-AR"/>
        </w:rPr>
        <w:t xml:space="preserve">Solicitan se les permita intervenir en el proceso, no como herederos declarados (condición que, destacan, tampoco ostentan los demás presentantes) sino en atención a la particular situación derivada de la desaparición de su progenitor y del trámite iniciado para definir su estado jurídico.-</w:t>
      </w:r>
    </w:p>
    <w:p>
      <w:pPr>
        <w:pStyle w:val="[Normal]"/>
        <w:spacing w:line="360" w:lineRule="auto"/>
        <w:ind w:firstLine="1134"/>
        <w:jc w:val="both"/>
        <w:rPr>
          <w:lang w:val="es-AR" w:eastAsia="es-AR" w:bidi="es-AR"/>
        </w:rPr>
      </w:pPr>
      <w:r>
        <w:rPr>
          <w:lang w:val="es-AR" w:eastAsia="es-AR" w:bidi="es-AR"/>
        </w:rPr>
        <w:t xml:space="preserve">A su turno, la heredera Vilma Rut Pérez adhiere a los fundamentos esgrimidos por los apelantes.-</w:t>
      </w:r>
    </w:p>
    <w:p>
      <w:pPr>
        <w:pStyle w:val="[Normal]"/>
        <w:spacing w:line="360" w:lineRule="auto"/>
        <w:ind w:firstLine="1134"/>
        <w:jc w:val="both"/>
        <w:rPr>
          <w:lang w:val="es-AR" w:eastAsia="es-AR" w:bidi="es-AR"/>
        </w:rPr>
      </w:pPr>
      <w:r>
        <w:rPr>
          <w:lang w:val="es-AR" w:eastAsia="es-AR" w:bidi="es-AR"/>
        </w:rPr>
        <w:t xml:space="preserve">Entrando a resolver, advierto que el aspecto central de la cuestión litigiosa sometida a revisión consiste en determinar si los hijos del heredero de autos se encuentran legitimados para comparecer en estas actuaciones en su representación.</w:t>
      </w:r>
    </w:p>
    <w:p>
      <w:pPr>
        <w:pStyle w:val="[Normal]"/>
        <w:spacing w:line="360" w:lineRule="auto"/>
        <w:ind w:firstLine="1134"/>
        <w:jc w:val="both"/>
        <w:rPr>
          <w:i/>
          <w:lang w:val="es-AR" w:eastAsia="es-AR" w:bidi="es-AR"/>
        </w:rPr>
      </w:pPr>
      <w:r>
        <w:rPr>
          <w:lang w:val="es-AR" w:eastAsia="es-AR" w:bidi="es-AR"/>
        </w:rPr>
        <w:t xml:space="preserve">A modo preliminar, es preciso efectuar un encuadramiento jurídico de la representación como forma de sucesión de los descendientes.-</w:t>
      </w:r>
    </w:p>
    <w:p>
      <w:pPr>
        <w:pStyle w:val="[Normal]"/>
        <w:spacing w:line="360" w:lineRule="auto"/>
        <w:ind w:firstLine="1134"/>
        <w:jc w:val="both"/>
        <w:rPr>
          <w:i/>
          <w:lang w:val="es-AR" w:eastAsia="es-AR" w:bidi="es-AR"/>
        </w:rPr>
      </w:pPr>
      <w:r>
        <w:rPr>
          <w:i/>
          <w:lang w:val="es-AR" w:eastAsia="es-AR" w:bidi="es-AR"/>
        </w:rPr>
        <w:t xml:space="preserve">"El derecho de representación es el que inviste el descendiente o los descendientes (representante/s) para ocupar el lugar de su o sus ascendientes (representado/s) en la sucesión del causante, recibiendo lo que el o los representados hubieran recibido de concurrir personalmente a la sucesión de que se trate, más allá del análisis de las otras causas jurídicas que abren la representación, como la indignidad y la renuncia.-</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i/>
          <w:lang w:val="es-AR" w:eastAsia="es-AR" w:bidi="es-AR"/>
        </w:rPr>
      </w:pPr>
      <w:r>
        <w:rPr>
          <w:i/>
          <w:lang w:val="es-AR" w:eastAsia="es-AR" w:bidi="es-AR"/>
        </w:rPr>
        <w:t xml:space="preserve">El principio básico de la representación, y el que explica todos sus efectos y consecuencias, es el de la ficción jurídica.</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i/>
          <w:lang w:val="es-AR" w:eastAsia="es-AR" w:bidi="es-AR"/>
        </w:rPr>
      </w:pPr>
      <w:r>
        <w:rPr>
          <w:i/>
          <w:lang w:val="es-AR" w:eastAsia="es-AR" w:bidi="es-AR"/>
        </w:rPr>
        <w:t xml:space="preserve">El representante ocupa el mismo lugar que hubiera ocupado el representado en la sucesión del difunto; tiene sus mismos derechos y obligaciones; concurre a la sucesión con las personas con las cuales hubiera concurrido el representado y excluye a quien él hubiera excluido.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i/>
          <w:lang w:val="es-AR" w:eastAsia="es-AR" w:bidi="es-AR"/>
        </w:rPr>
        <w:t xml:space="preserve">Para que opere el derecho de representación, es necesaria la muerte o el desplazamiento del representado" </w:t>
      </w:r>
      <w:r>
        <w:rPr>
          <w:lang w:val="es-AR" w:eastAsia="es-AR" w:bidi="es-AR"/>
        </w:rPr>
        <w:t xml:space="preserve">(Herrera-Caramelo-Picasso Código Civil y Comercial de la Nación Comentado, Tomo VI, Infojus, Edición Actualizada año 2022 comentario artículo 2427 págs 167/168).-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Sobre tales premisas, los señores Francisco Joel y Timoteo Daniel Pérez pretenden comparecer en la sucesión de sus abuelos -ambos fallecidos en el año 2025- invocando el derecho de representación respecto de su padre, Francisco Daniel Pérez, quien -según manifiestan- se encontraría desaparecido desde el año 2012, sin tener noticias de él, encontrándose en trámite un proceso de ausencia con presunción de fallecimiento.-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Sabido es que en la representación, la sentencia que declare la ausencia con presunción de fallecimiento se equipara a la muerte real, por lo que los descendientes del ausente con presunción de fallecimiento concurren a la sucesión por representación (conf. Herrera, ob. cit., Tomo VI, pág 168).-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Sin embargo, surge del expediente N° 115.269 caratulado "Perez Francisco Daniel S/ Ausencia con Presunción de Fallecimiento", en trámite ante el Juzgado en lo Civil y Comercial N° 2 de la ciudad de Mercedes -visualizado a través de la MEV- que el mismo carece de sentencia definitiva que declare el fallecimiento presunto del padre de los recurrentes.-</w:t>
      </w:r>
    </w:p>
    <w:p>
      <w:pPr>
        <w:pStyle w:val="[Normal]"/>
        <w:spacing w:line="360" w:lineRule="auto"/>
        <w:ind w:firstLine="1134"/>
        <w:jc w:val="both"/>
        <w:rPr>
          <w:lang w:val="es-AR" w:eastAsia="es-AR" w:bidi="es-AR"/>
        </w:rPr>
      </w:pPr>
      <w:r>
        <w:rPr>
          <w:lang w:val="es-AR" w:eastAsia="es-AR" w:bidi="es-AR"/>
        </w:rPr>
        <w:t xml:space="preserve">En esta tónica, se halla ausente el requisito esencial para que opere el derecho de la representación, es decir la sentencia firme y consentida que declare al ausente fallecido y mientras ello no ocurra, el padre de los recurrentes conserva íntegramente su personalidad jurídica y, con ella, su vocación hereditaria respecto de los causantes.-</w:t>
      </w:r>
    </w:p>
    <w:p>
      <w:pPr>
        <w:pStyle w:val="[Normal]"/>
        <w:spacing w:line="360" w:lineRule="auto"/>
        <w:ind w:firstLine="1134"/>
        <w:jc w:val="both"/>
        <w:rPr>
          <w:lang w:val="es-AR" w:eastAsia="es-AR" w:bidi="es-AR"/>
        </w:rPr>
      </w:pPr>
      <w:r>
        <w:rPr>
          <w:lang w:val="es-AR" w:eastAsia="es-AR" w:bidi="es-AR"/>
        </w:rPr>
        <w:t xml:space="preserve">Máxime cuando, resulta indispensable acreditar premoriencia del representado, esto es, que la persona originariamente llamada a suceder haya fallecido con anterioridad al causante, circunstancia que habilita a sus descendientes a ocupar su lugar en la vocación hereditaria (Art 2429 CCyC).-</w:t>
      </w:r>
    </w:p>
    <w:p>
      <w:pPr>
        <w:pStyle w:val="[Normal]"/>
        <w:spacing w:line="360" w:lineRule="auto"/>
        <w:ind w:firstLine="1134"/>
        <w:jc w:val="both"/>
        <w:rPr>
          <w:lang w:val="es-AR" w:eastAsia="es-AR" w:bidi="es-AR"/>
        </w:rPr>
      </w:pPr>
      <w:r>
        <w:rPr>
          <w:lang w:val="es-AR" w:eastAsia="es-AR" w:bidi="es-AR"/>
        </w:rPr>
        <w:t xml:space="preserve">Al respecto tiene dicho la jurisprudencia "</w:t>
      </w:r>
      <w:r>
        <w:rPr>
          <w:i/>
          <w:lang w:val="es-AR" w:eastAsia="es-AR" w:bidi="es-AR"/>
        </w:rPr>
        <w:t xml:space="preserve">El presupuesto fundamental para que funcione el derecho de representación respecto del representado es la premoriencia. Es decir que el representado tiene que haber muerto antes que el causante; si hubiese muerto después habría transmitido los derechos hereditarios a sus herederos, quienes en ese caso poseerían un llamamiento directo a la sucesión (cfr. esta Sala, causa Nro. 9490, RSI-191-2006, 19-10-2006; arts. 2337, 2424, 2426, 2427 y ccdts. del C.C.C.N.)" (CC0002 QL 20384 I 03/04/2019 JUBA B2953458).-</w:t>
      </w:r>
    </w:p>
    <w:p>
      <w:pPr>
        <w:pStyle w:val="[Normal]"/>
        <w:spacing w:line="360" w:lineRule="auto"/>
        <w:ind w:firstLine="1134"/>
        <w:jc w:val="both"/>
        <w:rPr>
          <w:lang w:val="es-AR" w:eastAsia="es-AR" w:bidi="es-AR"/>
        </w:rPr>
      </w:pPr>
      <w:r>
        <w:rPr>
          <w:lang w:val="es-AR" w:eastAsia="es-AR" w:bidi="es-AR"/>
        </w:rPr>
        <w:t xml:space="preserve">Así, admitir la comparecencia pretendida implicaría reconocer anticipadamente efectos propios de una sentencia judicial inexistente, lo cual vulneraría el principio de legalidad y la seguridad jurídica que debe regir en materia sucesoria.-</w:t>
      </w:r>
    </w:p>
    <w:p>
      <w:pPr>
        <w:pStyle w:val="[Normal]"/>
        <w:spacing w:line="360" w:lineRule="auto"/>
        <w:ind w:firstLine="1134"/>
        <w:jc w:val="both"/>
        <w:rPr>
          <w:lang w:val="es-AR" w:eastAsia="es-AR" w:bidi="es-AR"/>
        </w:rPr>
      </w:pPr>
      <w:r>
        <w:rPr>
          <w:lang w:val="es-AR" w:eastAsia="es-AR" w:bidi="es-AR"/>
        </w:rPr>
        <w:t xml:space="preserve">De ello se deriva que los nietos de los causante carecen, por el momento, de legitimación en la sucesión de sus abuelo lo que a su vez conlleva a que los mismos no se encuentren legitimados para participar o impulsar las presentes actuaciones hasta tanto cuenten con la partida de defunción o sentencia firme que declare el fallecimiento de su padre.-</w:t>
      </w:r>
    </w:p>
    <w:p>
      <w:pPr>
        <w:pStyle w:val="[Normal]"/>
        <w:spacing w:line="360" w:lineRule="auto"/>
        <w:ind w:firstLine="1134"/>
        <w:jc w:val="both"/>
        <w:rPr>
          <w:lang w:val="es-AR" w:eastAsia="es-AR" w:bidi="es-AR"/>
        </w:rPr>
      </w:pPr>
      <w:r>
        <w:rPr>
          <w:lang w:val="es-AR" w:eastAsia="es-AR" w:bidi="es-AR"/>
        </w:rPr>
        <w:t xml:space="preserve">Por lo expuesto, propongo al Acuerdo confirmar el decisorio de grado (arts. 2427, 2428 y ccs. del CCyC).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Francisco Joel y Timoteo Daniel Pérez y en consecuencia confirmar el decisorio apelado.-</w:t>
      </w:r>
    </w:p>
    <w:p>
      <w:pPr>
        <w:pStyle w:val="[Normal]"/>
        <w:spacing w:line="360" w:lineRule="auto"/>
        <w:ind w:firstLine="1134"/>
        <w:jc w:val="both"/>
        <w:rPr>
          <w:lang w:val="es-AR" w:eastAsia="es-AR" w:bidi="es-AR"/>
        </w:rPr>
      </w:pPr>
      <w:r>
        <w:rPr>
          <w:lang w:val="es-AR" w:eastAsia="es-AR" w:bidi="es-AR"/>
        </w:rPr>
        <w:t xml:space="preserve">Imponer costas de Alzada a los apelantes vencidos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14.961)</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por Francisco Joel y Timoteo Daniel Pérez y en consecuencia confirmar el decisorio apelado.</w:t>
      </w:r>
    </w:p>
    <w:p>
      <w:pPr>
        <w:pStyle w:val="[Normal]"/>
        <w:spacing w:line="360" w:lineRule="auto"/>
        <w:ind w:firstLine="1134"/>
        <w:jc w:val="both"/>
        <w:rPr>
          <w:lang w:val="es-AR" w:eastAsia="es-AR" w:bidi="es-AR"/>
        </w:rPr>
      </w:pPr>
      <w:r>
        <w:rPr>
          <w:lang w:val="es-AR" w:eastAsia="es-AR" w:bidi="es-AR"/>
        </w:rPr>
        <w:t xml:space="preserve">Imponer costas de Alzada a los apelantes vencidos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14.961)</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12/03/2026 10:26:19 -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12/03/2026 10:44:44 -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12/03/2026 10:45:04 -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‰8;")è&amp;p;k`Š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242702090006802775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12/03/2026 10:45:29 hs. bajo el número RS-25-2026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