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7C2F0B" w14:textId="77777777" w:rsidR="00C90028" w:rsidRDefault="0089040C">
      <w:pPr>
        <w:pStyle w:val="Normal0"/>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5881-25</w:t>
      </w:r>
      <w:r>
        <w:rPr>
          <w:lang w:val="es-AR" w:eastAsia="es-AR" w:bidi="es-AR"/>
        </w:rPr>
        <w:t xml:space="preserve"> caratulada </w:t>
      </w:r>
      <w:r>
        <w:rPr>
          <w:b/>
          <w:lang w:val="es-AR" w:eastAsia="es-AR" w:bidi="es-AR"/>
        </w:rPr>
        <w:t>"</w:t>
      </w:r>
      <w:r>
        <w:rPr>
          <w:b/>
          <w:color w:val="000000"/>
          <w:lang w:val="es-AR" w:eastAsia="es-AR" w:bidi="es-AR"/>
        </w:rPr>
        <w:t>N. D. R. C/ M. L. A. S/ LIQUID</w:t>
      </w:r>
      <w:r>
        <w:rPr>
          <w:b/>
          <w:color w:val="000000"/>
          <w:lang w:val="es-AR" w:eastAsia="es-AR" w:bidi="es-AR"/>
        </w:rPr>
        <w:t>ACION DE LA COMUNIDAD</w:t>
      </w:r>
      <w:r>
        <w:rPr>
          <w:b/>
          <w:lang w:val="es-AR" w:eastAsia="es-AR" w:bidi="es-AR"/>
        </w:rPr>
        <w:t>"</w:t>
      </w:r>
      <w:r>
        <w:rPr>
          <w:lang w:val="es-AR" w:eastAsia="es-AR" w:bidi="es-AR"/>
        </w:rPr>
        <w:t>, Expte. N° 33450</w:t>
      </w:r>
      <w:r>
        <w:rPr>
          <w:color w:val="000000"/>
          <w:lang w:val="es-AR" w:eastAsia="es-AR" w:bidi="es-AR"/>
        </w:rPr>
        <w:t xml:space="preserve"> </w:t>
      </w:r>
      <w:r>
        <w:rPr>
          <w:lang w:val="es-AR" w:eastAsia="es-AR" w:bidi="es-AR"/>
        </w:rPr>
        <w:t>del Juzgado de Familia N° 1, se practicó el sorteo de ley que determinó que la votación debía efectuarse en el siguiente orden: Roberto Degleue y Graciela Scaraffia, y estudiados los autos se resolvió plantear y vota</w:t>
      </w:r>
      <w:r>
        <w:rPr>
          <w:lang w:val="es-AR" w:eastAsia="es-AR" w:bidi="es-AR"/>
        </w:rPr>
        <w:t xml:space="preserve">r las siguientes: </w:t>
      </w:r>
    </w:p>
    <w:p w14:paraId="55257ADB" w14:textId="77777777" w:rsidR="00C90028" w:rsidRDefault="0089040C">
      <w:pPr>
        <w:pStyle w:val="Normal0"/>
        <w:spacing w:line="360" w:lineRule="auto"/>
        <w:ind w:firstLine="1134"/>
        <w:jc w:val="both"/>
        <w:rPr>
          <w:lang w:val="es-AR" w:eastAsia="es-AR" w:bidi="es-AR"/>
        </w:rPr>
      </w:pPr>
      <w:r>
        <w:rPr>
          <w:b/>
          <w:lang w:val="es-AR" w:eastAsia="es-AR" w:bidi="es-AR"/>
        </w:rPr>
        <w:t>C U E S T I O N E S</w:t>
      </w:r>
      <w:r>
        <w:rPr>
          <w:lang w:val="es-AR" w:eastAsia="es-AR" w:bidi="es-AR"/>
        </w:rPr>
        <w:t>:</w:t>
      </w:r>
    </w:p>
    <w:p w14:paraId="19E716CD" w14:textId="77777777" w:rsidR="00C90028" w:rsidRDefault="0089040C">
      <w:pPr>
        <w:pStyle w:val="Normal0"/>
        <w:spacing w:line="360" w:lineRule="auto"/>
        <w:ind w:firstLine="1134"/>
        <w:jc w:val="both"/>
        <w:rPr>
          <w:lang w:val="es-AR" w:eastAsia="es-AR" w:bidi="es-AR"/>
        </w:rPr>
      </w:pPr>
      <w:r>
        <w:rPr>
          <w:lang w:val="es-AR" w:eastAsia="es-AR" w:bidi="es-AR"/>
        </w:rPr>
        <w:t xml:space="preserve">I) ¿Se ajusta a derecho la sentencia </w:t>
      </w:r>
      <w:proofErr w:type="gramStart"/>
      <w:r>
        <w:rPr>
          <w:lang w:val="es-AR" w:eastAsia="es-AR" w:bidi="es-AR"/>
        </w:rPr>
        <w:t>apelada?.</w:t>
      </w:r>
      <w:proofErr w:type="gramEnd"/>
    </w:p>
    <w:p w14:paraId="516277E2" w14:textId="77777777" w:rsidR="00C90028" w:rsidRDefault="0089040C">
      <w:pPr>
        <w:pStyle w:val="Normal0"/>
        <w:spacing w:line="360" w:lineRule="auto"/>
        <w:ind w:firstLine="1134"/>
        <w:jc w:val="both"/>
        <w:rPr>
          <w:lang w:val="es-AR" w:eastAsia="es-AR" w:bidi="es-AR"/>
        </w:rPr>
      </w:pPr>
      <w:r>
        <w:rPr>
          <w:lang w:val="es-AR" w:eastAsia="es-AR" w:bidi="es-AR"/>
        </w:rPr>
        <w:t xml:space="preserve">II) ¿Qué pronunciamiento corresponde </w:t>
      </w:r>
      <w:proofErr w:type="gramStart"/>
      <w:r>
        <w:rPr>
          <w:lang w:val="es-AR" w:eastAsia="es-AR" w:bidi="es-AR"/>
        </w:rPr>
        <w:t>dictar?.</w:t>
      </w:r>
      <w:proofErr w:type="gramEnd"/>
    </w:p>
    <w:p w14:paraId="499E08E5" w14:textId="77777777" w:rsidR="00C90028" w:rsidRDefault="0089040C">
      <w:pPr>
        <w:pStyle w:val="Normal0"/>
        <w:spacing w:line="360" w:lineRule="auto"/>
        <w:ind w:firstLine="1134"/>
        <w:jc w:val="both"/>
        <w:rPr>
          <w:lang w:val="es-AR" w:eastAsia="es-AR" w:bidi="es-AR"/>
        </w:rPr>
      </w:pPr>
      <w:r>
        <w:rPr>
          <w:lang w:val="es-AR" w:eastAsia="es-AR" w:bidi="es-AR"/>
        </w:rPr>
        <w:t>A la primera cuestión el señor Juez Roberto Degleue</w:t>
      </w:r>
      <w:r>
        <w:rPr>
          <w:color w:val="0000FF"/>
          <w:lang w:val="es-AR" w:eastAsia="es-AR" w:bidi="es-AR"/>
        </w:rPr>
        <w:t xml:space="preserve"> </w:t>
      </w:r>
      <w:r>
        <w:rPr>
          <w:lang w:val="es-AR" w:eastAsia="es-AR" w:bidi="es-AR"/>
        </w:rPr>
        <w:t>dijo:</w:t>
      </w:r>
    </w:p>
    <w:p w14:paraId="4EC81354" w14:textId="77777777" w:rsidR="00C90028" w:rsidRDefault="0089040C">
      <w:pPr>
        <w:pStyle w:val="Normal0"/>
        <w:spacing w:line="360" w:lineRule="auto"/>
        <w:ind w:firstLine="1134"/>
        <w:jc w:val="both"/>
        <w:rPr>
          <w:lang w:val="es-AR" w:eastAsia="es-AR" w:bidi="es-AR"/>
        </w:rPr>
      </w:pPr>
      <w:r>
        <w:rPr>
          <w:lang w:val="es-AR" w:eastAsia="es-AR" w:bidi="es-AR"/>
        </w:rPr>
        <w:t>El señor Juez de la anterior sede rechazó la demanda entablada po</w:t>
      </w:r>
      <w:r>
        <w:rPr>
          <w:lang w:val="es-AR" w:eastAsia="es-AR" w:bidi="es-AR"/>
        </w:rPr>
        <w:t xml:space="preserve">r la Sra. D. R. N.  contra el Sr. L. A.  </w:t>
      </w:r>
      <w:proofErr w:type="gramStart"/>
      <w:r>
        <w:rPr>
          <w:lang w:val="es-AR" w:eastAsia="es-AR" w:bidi="es-AR"/>
        </w:rPr>
        <w:t>M..</w:t>
      </w:r>
      <w:proofErr w:type="gramEnd"/>
      <w:r>
        <w:rPr>
          <w:lang w:val="es-AR" w:eastAsia="es-AR" w:bidi="es-AR"/>
        </w:rPr>
        <w:t xml:space="preserve">  Impuso las costas a la accionante y difirió la regulación de honorarios de los letrados intervinientes.</w:t>
      </w:r>
    </w:p>
    <w:p w14:paraId="6C9A6B0F" w14:textId="77777777" w:rsidR="00C90028" w:rsidRDefault="0089040C">
      <w:pPr>
        <w:pStyle w:val="Normal0"/>
        <w:spacing w:line="360" w:lineRule="auto"/>
        <w:ind w:firstLine="1134"/>
        <w:jc w:val="both"/>
        <w:rPr>
          <w:lang w:val="es-AR" w:eastAsia="es-AR" w:bidi="es-AR"/>
        </w:rPr>
      </w:pPr>
      <w:r>
        <w:rPr>
          <w:lang w:val="es-AR" w:eastAsia="es-AR" w:bidi="es-AR"/>
        </w:rPr>
        <w:t>En disconformidad con lo decidido, interpuso recurso de apelación la parte actora el 7-10-2025, quien expr</w:t>
      </w:r>
      <w:r>
        <w:rPr>
          <w:lang w:val="es-AR" w:eastAsia="es-AR" w:bidi="es-AR"/>
        </w:rPr>
        <w:t>esa agravios el 30-10-2025, no habiendo la parte demandada contestado el traslado conferido el 6-11-2025.-</w:t>
      </w:r>
    </w:p>
    <w:p w14:paraId="7B0A0DB7" w14:textId="77777777" w:rsidR="00C90028" w:rsidRDefault="0089040C">
      <w:pPr>
        <w:pStyle w:val="Normal0"/>
        <w:spacing w:line="360" w:lineRule="auto"/>
        <w:ind w:firstLine="1134"/>
        <w:jc w:val="both"/>
        <w:rPr>
          <w:lang w:val="es-AR" w:eastAsia="es-AR" w:bidi="es-AR"/>
        </w:rPr>
      </w:pPr>
      <w:r>
        <w:rPr>
          <w:lang w:val="es-AR" w:eastAsia="es-AR" w:bidi="es-AR"/>
        </w:rPr>
        <w:t xml:space="preserve">Con fecha 20-11-2025 llamamiento de autos para sentencia, providencia que firme a la fecha deja la causa en condiciones de ser </w:t>
      </w:r>
      <w:proofErr w:type="gramStart"/>
      <w:r>
        <w:rPr>
          <w:lang w:val="es-AR" w:eastAsia="es-AR" w:bidi="es-AR"/>
        </w:rPr>
        <w:t>tratada.-</w:t>
      </w:r>
      <w:proofErr w:type="gramEnd"/>
    </w:p>
    <w:p w14:paraId="4BBD1BA4" w14:textId="77777777" w:rsidR="00C90028" w:rsidRDefault="0089040C">
      <w:pPr>
        <w:pStyle w:val="Normal0"/>
        <w:spacing w:line="360" w:lineRule="auto"/>
        <w:ind w:firstLine="1134"/>
        <w:jc w:val="both"/>
        <w:rPr>
          <w:lang w:val="es-AR" w:eastAsia="es-AR" w:bidi="es-AR"/>
        </w:rPr>
      </w:pPr>
      <w:r>
        <w:rPr>
          <w:lang w:val="es-AR" w:eastAsia="es-AR" w:bidi="es-AR"/>
        </w:rPr>
        <w:t>La actora cu</w:t>
      </w:r>
      <w:r>
        <w:rPr>
          <w:lang w:val="es-AR" w:eastAsia="es-AR" w:bidi="es-AR"/>
        </w:rPr>
        <w:t>estiona que la sentencia de grado haya concluido que no se acreditaron aportes “indubitados”, pese a encontrarse probado en autos un proyecto de vida en común sostenido durante 28 años, con cohabitación, trabajo conjunto para el sostenimiento del hogar y c</w:t>
      </w:r>
      <w:r>
        <w:rPr>
          <w:lang w:val="es-AR" w:eastAsia="es-AR" w:bidi="es-AR"/>
        </w:rPr>
        <w:t xml:space="preserve">onstrucción de la vivienda familiar durante la </w:t>
      </w:r>
      <w:proofErr w:type="gramStart"/>
      <w:r>
        <w:rPr>
          <w:lang w:val="es-AR" w:eastAsia="es-AR" w:bidi="es-AR"/>
        </w:rPr>
        <w:t>convivencia.-</w:t>
      </w:r>
      <w:proofErr w:type="gramEnd"/>
    </w:p>
    <w:p w14:paraId="30DA4DA7" w14:textId="77777777" w:rsidR="00C90028" w:rsidRDefault="0089040C">
      <w:pPr>
        <w:pStyle w:val="Normal0"/>
        <w:spacing w:line="360" w:lineRule="auto"/>
        <w:ind w:firstLine="1134"/>
        <w:jc w:val="both"/>
        <w:rPr>
          <w:lang w:val="es-AR" w:eastAsia="es-AR" w:bidi="es-AR"/>
        </w:rPr>
      </w:pPr>
      <w:r>
        <w:rPr>
          <w:lang w:val="es-AR" w:eastAsia="es-AR" w:bidi="es-AR"/>
        </w:rPr>
        <w:t>Subraya que no solo efectuó aportes económicos directos (derivados de su labor como empleada doméstica), sino también aportes indirectos consistentes en tareas domésticas y de cuidado, los cuales</w:t>
      </w:r>
      <w:r>
        <w:rPr>
          <w:lang w:val="es-AR" w:eastAsia="es-AR" w:bidi="es-AR"/>
        </w:rPr>
        <w:t xml:space="preserve"> afirma poseen valor económico y permitieron al demandado destinar sus ingresos a la adquisición de </w:t>
      </w:r>
      <w:proofErr w:type="gramStart"/>
      <w:r>
        <w:rPr>
          <w:lang w:val="es-AR" w:eastAsia="es-AR" w:bidi="es-AR"/>
        </w:rPr>
        <w:t>bienes.-</w:t>
      </w:r>
      <w:proofErr w:type="gramEnd"/>
    </w:p>
    <w:p w14:paraId="41E1C8CC" w14:textId="77777777" w:rsidR="00C90028" w:rsidRDefault="0089040C">
      <w:pPr>
        <w:pStyle w:val="Normal0"/>
        <w:spacing w:line="360" w:lineRule="auto"/>
        <w:ind w:firstLine="1134"/>
        <w:jc w:val="both"/>
        <w:rPr>
          <w:lang w:val="es-AR" w:eastAsia="es-AR" w:bidi="es-AR"/>
        </w:rPr>
      </w:pPr>
      <w:r>
        <w:rPr>
          <w:lang w:val="es-AR" w:eastAsia="es-AR" w:bidi="es-AR"/>
        </w:rPr>
        <w:lastRenderedPageBreak/>
        <w:t>Critica la valoración fragmentaria de la prueba testimonial, sosteniendo que los testigos corroboraron el progreso patrimonial conjunto, el trabajo</w:t>
      </w:r>
      <w:r>
        <w:rPr>
          <w:lang w:val="es-AR" w:eastAsia="es-AR" w:bidi="es-AR"/>
        </w:rPr>
        <w:t xml:space="preserve"> remunerado de la actora y la contribución de ambos al sostenimiento del hogar y a la construcción de la vivienda, incluso con colaboración de los hijos de la actora.</w:t>
      </w:r>
    </w:p>
    <w:p w14:paraId="0DE11EBE" w14:textId="77777777" w:rsidR="00C90028" w:rsidRDefault="0089040C">
      <w:pPr>
        <w:pStyle w:val="Normal0"/>
        <w:spacing w:line="360" w:lineRule="auto"/>
        <w:ind w:firstLine="1134"/>
        <w:jc w:val="both"/>
        <w:rPr>
          <w:lang w:val="es-AR" w:eastAsia="es-AR" w:bidi="es-AR"/>
        </w:rPr>
      </w:pPr>
      <w:r>
        <w:rPr>
          <w:lang w:val="es-AR" w:eastAsia="es-AR" w:bidi="es-AR"/>
        </w:rPr>
        <w:t xml:space="preserve">Aduce que el demandado no acreditó en forma concreta y suficiente el origen exclusivo de </w:t>
      </w:r>
      <w:r>
        <w:rPr>
          <w:lang w:val="es-AR" w:eastAsia="es-AR" w:bidi="es-AR"/>
        </w:rPr>
        <w:t xml:space="preserve">los fondos utilizados para adquirir los bienes, limitándose a invocar ingresos provenientes de trabajos de carácter temporario o estacional, sin probar su cuantía ni su </w:t>
      </w:r>
      <w:proofErr w:type="gramStart"/>
      <w:r>
        <w:rPr>
          <w:lang w:val="es-AR" w:eastAsia="es-AR" w:bidi="es-AR"/>
        </w:rPr>
        <w:t>suficiencia.-</w:t>
      </w:r>
      <w:proofErr w:type="gramEnd"/>
    </w:p>
    <w:p w14:paraId="10651054" w14:textId="77777777" w:rsidR="00C90028" w:rsidRDefault="0089040C">
      <w:pPr>
        <w:pStyle w:val="Normal0"/>
        <w:spacing w:line="360" w:lineRule="auto"/>
        <w:ind w:firstLine="1134"/>
        <w:jc w:val="both"/>
        <w:rPr>
          <w:lang w:val="es-AR" w:eastAsia="es-AR" w:bidi="es-AR"/>
        </w:rPr>
      </w:pPr>
      <w:r>
        <w:rPr>
          <w:lang w:val="es-AR" w:eastAsia="es-AR" w:bidi="es-AR"/>
        </w:rPr>
        <w:t xml:space="preserve">Sostiene </w:t>
      </w:r>
      <w:proofErr w:type="gramStart"/>
      <w:r>
        <w:rPr>
          <w:lang w:val="es-AR" w:eastAsia="es-AR" w:bidi="es-AR"/>
        </w:rPr>
        <w:t>que</w:t>
      </w:r>
      <w:proofErr w:type="gramEnd"/>
      <w:r>
        <w:rPr>
          <w:lang w:val="es-AR" w:eastAsia="es-AR" w:bidi="es-AR"/>
        </w:rPr>
        <w:t xml:space="preserve"> si bien el fallo menciona la necesidad de aplicar perspectiv</w:t>
      </w:r>
      <w:r>
        <w:rPr>
          <w:lang w:val="es-AR" w:eastAsia="es-AR" w:bidi="es-AR"/>
        </w:rPr>
        <w:t>a de género, no la implementa de manera efectiva.</w:t>
      </w:r>
    </w:p>
    <w:p w14:paraId="10302DED" w14:textId="77777777" w:rsidR="00C90028" w:rsidRDefault="0089040C">
      <w:pPr>
        <w:pStyle w:val="Normal0"/>
        <w:spacing w:line="360" w:lineRule="auto"/>
        <w:ind w:firstLine="1134"/>
        <w:jc w:val="both"/>
        <w:rPr>
          <w:lang w:val="es-AR" w:eastAsia="es-AR" w:bidi="es-AR"/>
        </w:rPr>
      </w:pPr>
      <w:r>
        <w:rPr>
          <w:lang w:val="es-AR" w:eastAsia="es-AR" w:bidi="es-AR"/>
        </w:rPr>
        <w:t>Afirma que la decisión valoró exclusivamente los ingresos formales del demandado como aportes relevantes, descartando tanto sus ingresos como el valor económico de las tareas domésticas y de cuidado desarro</w:t>
      </w:r>
      <w:r>
        <w:rPr>
          <w:lang w:val="es-AR" w:eastAsia="es-AR" w:bidi="es-AR"/>
        </w:rPr>
        <w:t>lladas durante casi tres décadas.</w:t>
      </w:r>
    </w:p>
    <w:p w14:paraId="235E948C" w14:textId="77777777" w:rsidR="00C90028" w:rsidRDefault="0089040C">
      <w:pPr>
        <w:pStyle w:val="Normal0"/>
        <w:spacing w:line="360" w:lineRule="auto"/>
        <w:ind w:firstLine="1134"/>
        <w:jc w:val="both"/>
        <w:rPr>
          <w:lang w:val="es-AR" w:eastAsia="es-AR" w:bidi="es-AR"/>
        </w:rPr>
      </w:pPr>
      <w:r>
        <w:rPr>
          <w:lang w:val="es-AR" w:eastAsia="es-AR" w:bidi="es-AR"/>
        </w:rPr>
        <w:t xml:space="preserve">Señala que juzgar con perspectiva de género implica reconocer la existencia de patrones socioculturales que generan desigualdades patrimoniales, las cuales deben ser corregidas judicialmente cuando se acreditan en el caso </w:t>
      </w:r>
      <w:proofErr w:type="gramStart"/>
      <w:r>
        <w:rPr>
          <w:lang w:val="es-AR" w:eastAsia="es-AR" w:bidi="es-AR"/>
        </w:rPr>
        <w:t>concreto.-</w:t>
      </w:r>
      <w:proofErr w:type="gramEnd"/>
    </w:p>
    <w:p w14:paraId="7E758237" w14:textId="77777777" w:rsidR="00C90028" w:rsidRDefault="0089040C">
      <w:pPr>
        <w:pStyle w:val="Normal0"/>
        <w:spacing w:line="360" w:lineRule="auto"/>
        <w:ind w:firstLine="1134"/>
        <w:jc w:val="both"/>
        <w:rPr>
          <w:lang w:val="es-AR" w:eastAsia="es-AR" w:bidi="es-AR"/>
        </w:rPr>
      </w:pPr>
      <w:r>
        <w:rPr>
          <w:lang w:val="es-AR" w:eastAsia="es-AR" w:bidi="es-AR"/>
        </w:rPr>
        <w:t xml:space="preserve">Añade que no se ponderó adecuadamente la dinámica relacional atravesada por estereotipos patriarcales ni la existencia de antecedentes de violencia familiar entre las partes, lo que a su entender incluyó violencia </w:t>
      </w:r>
      <w:proofErr w:type="gramStart"/>
      <w:r>
        <w:rPr>
          <w:lang w:val="es-AR" w:eastAsia="es-AR" w:bidi="es-AR"/>
        </w:rPr>
        <w:t>económica.-</w:t>
      </w:r>
      <w:proofErr w:type="gramEnd"/>
    </w:p>
    <w:p w14:paraId="7D11837E" w14:textId="77777777" w:rsidR="00C90028" w:rsidRDefault="0089040C">
      <w:pPr>
        <w:pStyle w:val="Normal0"/>
        <w:spacing w:line="360" w:lineRule="auto"/>
        <w:ind w:firstLine="1134"/>
        <w:jc w:val="both"/>
        <w:rPr>
          <w:lang w:val="es-AR" w:eastAsia="es-AR" w:bidi="es-AR"/>
        </w:rPr>
      </w:pPr>
      <w:r>
        <w:rPr>
          <w:lang w:val="es-AR" w:eastAsia="es-AR" w:bidi="es-AR"/>
        </w:rPr>
        <w:t>La recurrente cuest</w:t>
      </w:r>
      <w:r>
        <w:rPr>
          <w:lang w:val="es-AR" w:eastAsia="es-AR" w:bidi="es-AR"/>
        </w:rPr>
        <w:t>iona la interpretación restrictiva del art. 528 del Código Civil y Comercial efectuada en la sentencia, sosteniendo que dicha norma no excluye la aplicación de los principios generales, en particular el enriquecimiento sin causa.</w:t>
      </w:r>
    </w:p>
    <w:p w14:paraId="23EE815F" w14:textId="77777777" w:rsidR="00C90028" w:rsidRDefault="0089040C">
      <w:pPr>
        <w:pStyle w:val="Normal0"/>
        <w:spacing w:line="360" w:lineRule="auto"/>
        <w:ind w:firstLine="1134"/>
        <w:jc w:val="both"/>
        <w:rPr>
          <w:lang w:val="es-AR" w:eastAsia="es-AR" w:bidi="es-AR"/>
        </w:rPr>
      </w:pPr>
      <w:r>
        <w:rPr>
          <w:lang w:val="es-AR" w:eastAsia="es-AR" w:bidi="es-AR"/>
        </w:rPr>
        <w:t>Manifiesta que la prueba p</w:t>
      </w:r>
      <w:r>
        <w:rPr>
          <w:lang w:val="es-AR" w:eastAsia="es-AR" w:bidi="es-AR"/>
        </w:rPr>
        <w:t xml:space="preserve">roducida permitiría concluir que el demandado incrementó su patrimonio durante la convivencia con el aporte económico, doméstico y personal de la actora, por lo que negar relevancia jurídica a tales contribuciones importa convalidar un enriquecimiento sin </w:t>
      </w:r>
      <w:r>
        <w:rPr>
          <w:lang w:val="es-AR" w:eastAsia="es-AR" w:bidi="es-AR"/>
        </w:rPr>
        <w:lastRenderedPageBreak/>
        <w:t>causa, prohibido por los arts. 1794 y concordantes del CCyC.</w:t>
      </w:r>
    </w:p>
    <w:p w14:paraId="0FE5D216" w14:textId="77777777" w:rsidR="00C90028" w:rsidRDefault="0089040C">
      <w:pPr>
        <w:pStyle w:val="Normal0"/>
        <w:spacing w:line="360" w:lineRule="auto"/>
        <w:ind w:firstLine="1134"/>
        <w:jc w:val="both"/>
        <w:rPr>
          <w:lang w:val="es-AR" w:eastAsia="es-AR" w:bidi="es-AR"/>
        </w:rPr>
      </w:pPr>
      <w:r>
        <w:rPr>
          <w:lang w:val="es-AR" w:eastAsia="es-AR" w:bidi="es-AR"/>
        </w:rPr>
        <w:t>Finalmente, la apelante sostiene que la sentencia se aparta de los principios de solidaridad familiar, equidad y justicia material que forman el derecho de familia.</w:t>
      </w:r>
    </w:p>
    <w:p w14:paraId="7EB94EC9" w14:textId="77777777" w:rsidR="00C90028" w:rsidRDefault="0089040C">
      <w:pPr>
        <w:pStyle w:val="Normal0"/>
        <w:spacing w:line="360" w:lineRule="auto"/>
        <w:ind w:firstLine="1134"/>
        <w:jc w:val="both"/>
        <w:rPr>
          <w:lang w:val="es-AR" w:eastAsia="es-AR" w:bidi="es-AR"/>
        </w:rPr>
      </w:pPr>
      <w:r>
        <w:rPr>
          <w:lang w:val="es-AR" w:eastAsia="es-AR" w:bidi="es-AR"/>
        </w:rPr>
        <w:t xml:space="preserve">Expone su situación actual de </w:t>
      </w:r>
      <w:r>
        <w:rPr>
          <w:lang w:val="es-AR" w:eastAsia="es-AR" w:bidi="es-AR"/>
        </w:rPr>
        <w:t xml:space="preserve">vulnerabilidad (edad avanzada, estado de salud comprometido e ingresos limitados) y afirma que durante la convivencia se dedicó al trabajo doméstico y al sostenimiento del hogar, mientras el demandado administraba los recursos y registraba a su nombre los </w:t>
      </w:r>
      <w:r>
        <w:rPr>
          <w:lang w:val="es-AR" w:eastAsia="es-AR" w:bidi="es-AR"/>
        </w:rPr>
        <w:t>bienes adquiridos.</w:t>
      </w:r>
    </w:p>
    <w:p w14:paraId="26106916" w14:textId="77777777" w:rsidR="00C90028" w:rsidRDefault="0089040C">
      <w:pPr>
        <w:pStyle w:val="Normal0"/>
        <w:spacing w:line="360" w:lineRule="auto"/>
        <w:ind w:firstLine="1134"/>
        <w:jc w:val="both"/>
        <w:rPr>
          <w:lang w:val="es-AR" w:eastAsia="es-AR" w:bidi="es-AR"/>
        </w:rPr>
      </w:pPr>
      <w:r>
        <w:rPr>
          <w:lang w:val="es-AR" w:eastAsia="es-AR" w:bidi="es-AR"/>
        </w:rPr>
        <w:t xml:space="preserve">Solicita se revoque la sentencia y se haga lugar a la demanda entablada, con costas al </w:t>
      </w:r>
      <w:proofErr w:type="gramStart"/>
      <w:r>
        <w:rPr>
          <w:lang w:val="es-AR" w:eastAsia="es-AR" w:bidi="es-AR"/>
        </w:rPr>
        <w:t>demandado.-</w:t>
      </w:r>
      <w:proofErr w:type="gramEnd"/>
    </w:p>
    <w:p w14:paraId="5E9C3267" w14:textId="77777777" w:rsidR="00C90028" w:rsidRDefault="0089040C">
      <w:pPr>
        <w:pStyle w:val="Normal0"/>
        <w:spacing w:line="360" w:lineRule="auto"/>
        <w:ind w:firstLine="1134"/>
        <w:jc w:val="both"/>
        <w:rPr>
          <w:lang w:val="es-AR" w:eastAsia="es-AR" w:bidi="es-AR"/>
        </w:rPr>
      </w:pPr>
      <w:r>
        <w:rPr>
          <w:lang w:val="es-AR" w:eastAsia="es-AR" w:bidi="es-AR"/>
        </w:rPr>
        <w:t>Entrando a resolver, he de advertir que la cuestión litigiosa sometida a revisión está centrada en el modo en que ha de resolverse patrimo</w:t>
      </w:r>
      <w:r>
        <w:rPr>
          <w:lang w:val="es-AR" w:eastAsia="es-AR" w:bidi="es-AR"/>
        </w:rPr>
        <w:t>nialmente la</w:t>
      </w:r>
      <w:r>
        <w:rPr>
          <w:b/>
          <w:lang w:val="es-AR" w:eastAsia="es-AR" w:bidi="es-AR"/>
        </w:rPr>
        <w:t xml:space="preserve"> </w:t>
      </w:r>
      <w:r>
        <w:rPr>
          <w:lang w:val="es-AR" w:eastAsia="es-AR" w:bidi="es-AR"/>
        </w:rPr>
        <w:t xml:space="preserve">unión convivencial desarrollada por las </w:t>
      </w:r>
      <w:proofErr w:type="gramStart"/>
      <w:r>
        <w:rPr>
          <w:lang w:val="es-AR" w:eastAsia="es-AR" w:bidi="es-AR"/>
        </w:rPr>
        <w:t>partes.-</w:t>
      </w:r>
      <w:proofErr w:type="gramEnd"/>
    </w:p>
    <w:p w14:paraId="29468936" w14:textId="77777777" w:rsidR="00C90028" w:rsidRDefault="0089040C">
      <w:pPr>
        <w:pStyle w:val="Normal0"/>
        <w:spacing w:line="360" w:lineRule="auto"/>
        <w:ind w:firstLine="1134"/>
        <w:jc w:val="both"/>
        <w:rPr>
          <w:lang w:val="es-AR" w:eastAsia="es-AR" w:bidi="es-AR"/>
        </w:rPr>
      </w:pPr>
      <w:r>
        <w:rPr>
          <w:lang w:val="es-AR" w:eastAsia="es-AR" w:bidi="es-AR"/>
        </w:rPr>
        <w:t xml:space="preserve">A modo preliminar, habré de comenzar resaltando que las partes no controvierten la existencia de una unión de hecho entre ellas durante un período de duración de 16 años que se inició en el año </w:t>
      </w:r>
      <w:r>
        <w:rPr>
          <w:lang w:val="es-AR" w:eastAsia="es-AR" w:bidi="es-AR"/>
        </w:rPr>
        <w:t>1993 y se mantuvo hasta el mes de marzo de 2022.-</w:t>
      </w:r>
    </w:p>
    <w:p w14:paraId="120AB6C2" w14:textId="77777777" w:rsidR="00C90028" w:rsidRDefault="0089040C">
      <w:pPr>
        <w:pStyle w:val="Normal0"/>
        <w:spacing w:line="360" w:lineRule="auto"/>
        <w:ind w:firstLine="1134"/>
        <w:jc w:val="both"/>
        <w:rPr>
          <w:lang w:val="es-AR" w:eastAsia="es-AR" w:bidi="es-AR"/>
        </w:rPr>
      </w:pPr>
      <w:r>
        <w:rPr>
          <w:lang w:val="es-AR" w:eastAsia="es-AR" w:bidi="es-AR"/>
        </w:rPr>
        <w:t>Dicho ello, ingresando en el abordaje del primer agravio expresado por la apelante, he de señalar que los motivos que se esgrimen para conmover lo decidido en el fallo apelado radican en la errónea valoraci</w:t>
      </w:r>
      <w:r>
        <w:rPr>
          <w:lang w:val="es-AR" w:eastAsia="es-AR" w:bidi="es-AR"/>
        </w:rPr>
        <w:t xml:space="preserve">ón de la prueba y en el desconocimiento de los aportes realizados por la </w:t>
      </w:r>
      <w:proofErr w:type="gramStart"/>
      <w:r>
        <w:rPr>
          <w:lang w:val="es-AR" w:eastAsia="es-AR" w:bidi="es-AR"/>
        </w:rPr>
        <w:t>actora.-</w:t>
      </w:r>
      <w:proofErr w:type="gramEnd"/>
    </w:p>
    <w:p w14:paraId="4011F7A9" w14:textId="77777777" w:rsidR="00C90028" w:rsidRDefault="0089040C">
      <w:pPr>
        <w:pStyle w:val="Normal0"/>
        <w:spacing w:line="360" w:lineRule="auto"/>
        <w:ind w:firstLine="1134"/>
        <w:jc w:val="both"/>
        <w:rPr>
          <w:lang w:val="es-AR" w:eastAsia="es-AR" w:bidi="es-AR"/>
        </w:rPr>
      </w:pPr>
      <w:r>
        <w:rPr>
          <w:lang w:val="es-AR" w:eastAsia="es-AR" w:bidi="es-AR"/>
        </w:rPr>
        <w:t xml:space="preserve">Como punto de partida corresponde recordar que, como bien hizo mención el a quo, a diferencia del matrimonio la unión convivencial no genera un régimen de comunidad de </w:t>
      </w:r>
      <w:proofErr w:type="gramStart"/>
      <w:r>
        <w:rPr>
          <w:lang w:val="es-AR" w:eastAsia="es-AR" w:bidi="es-AR"/>
        </w:rPr>
        <w:t>bienes</w:t>
      </w:r>
      <w:r>
        <w:rPr>
          <w:lang w:val="es-AR" w:eastAsia="es-AR" w:bidi="es-AR"/>
        </w:rPr>
        <w:t>.-</w:t>
      </w:r>
      <w:proofErr w:type="gramEnd"/>
    </w:p>
    <w:p w14:paraId="0C56D74E" w14:textId="77777777" w:rsidR="00C90028" w:rsidRDefault="0089040C">
      <w:pPr>
        <w:pStyle w:val="Normal0"/>
        <w:spacing w:line="360" w:lineRule="auto"/>
        <w:ind w:firstLine="1134"/>
        <w:jc w:val="both"/>
        <w:rPr>
          <w:lang w:val="es-AR" w:eastAsia="es-AR" w:bidi="es-AR"/>
        </w:rPr>
      </w:pPr>
      <w:r>
        <w:rPr>
          <w:lang w:val="es-AR" w:eastAsia="es-AR" w:bidi="es-AR"/>
        </w:rPr>
        <w:t>En consonancia con el principio de supremacía de la autonomía personal establecido en el art. 513 CCyC, las relaciones patrimoniales entre convivientes durante la vigencia de la unión convivencial se rigen por lo dispuesto en el pacto de convivencia. En</w:t>
      </w:r>
      <w:r>
        <w:rPr>
          <w:lang w:val="es-AR" w:eastAsia="es-AR" w:bidi="es-AR"/>
        </w:rPr>
        <w:t xml:space="preserve"> caso de no haber celebrado pacto, el CCyC establece -como régimen supletorio- la facultad de libre </w:t>
      </w:r>
      <w:r>
        <w:rPr>
          <w:lang w:val="es-AR" w:eastAsia="es-AR" w:bidi="es-AR"/>
        </w:rPr>
        <w:lastRenderedPageBreak/>
        <w:t>administración y disposición de los bienes bajo la titularidad de los integrantes de la unión (Herrera-Caramelo-Picasso Código Civil y Comercial de la Nació</w:t>
      </w:r>
      <w:r>
        <w:rPr>
          <w:lang w:val="es-AR" w:eastAsia="es-AR" w:bidi="es-AR"/>
        </w:rPr>
        <w:t>n Comentado, Tomo ll, Infojus, Edición Actualizada año 2022 comentario artículo 518 págs 208</w:t>
      </w:r>
      <w:proofErr w:type="gramStart"/>
      <w:r>
        <w:rPr>
          <w:lang w:val="es-AR" w:eastAsia="es-AR" w:bidi="es-AR"/>
        </w:rPr>
        <w:t>).-</w:t>
      </w:r>
      <w:proofErr w:type="gramEnd"/>
    </w:p>
    <w:p w14:paraId="7A8E74B1" w14:textId="77777777" w:rsidR="00C90028" w:rsidRDefault="0089040C">
      <w:pPr>
        <w:pStyle w:val="Normal0"/>
        <w:spacing w:line="360" w:lineRule="auto"/>
        <w:ind w:firstLine="1134"/>
        <w:jc w:val="both"/>
        <w:rPr>
          <w:lang w:val="es-AR" w:eastAsia="es-AR" w:bidi="es-AR"/>
        </w:rPr>
      </w:pPr>
      <w:r>
        <w:rPr>
          <w:lang w:val="es-AR" w:eastAsia="es-AR" w:bidi="es-AR"/>
        </w:rPr>
        <w:t>Cada uno de los convivientes conserva la propiedad, la administración y la disposición de los bienes que adquiera mientras dure la unión convivencial y quien pr</w:t>
      </w:r>
      <w:r>
        <w:rPr>
          <w:lang w:val="es-AR" w:eastAsia="es-AR" w:bidi="es-AR"/>
        </w:rPr>
        <w:t xml:space="preserve">etenda participar en los bienes registrados a nombre del otro debe acreditar el aporte que justifique tal </w:t>
      </w:r>
      <w:proofErr w:type="gramStart"/>
      <w:r>
        <w:rPr>
          <w:lang w:val="es-AR" w:eastAsia="es-AR" w:bidi="es-AR"/>
        </w:rPr>
        <w:t>pretensión.-</w:t>
      </w:r>
      <w:proofErr w:type="gramEnd"/>
    </w:p>
    <w:p w14:paraId="461FB4B1" w14:textId="77777777" w:rsidR="00C90028" w:rsidRDefault="0089040C">
      <w:pPr>
        <w:pStyle w:val="Normal0"/>
        <w:spacing w:line="360" w:lineRule="auto"/>
        <w:ind w:firstLine="1134"/>
        <w:jc w:val="both"/>
        <w:rPr>
          <w:lang w:val="es-AR" w:eastAsia="es-AR" w:bidi="es-AR"/>
        </w:rPr>
      </w:pPr>
      <w:r>
        <w:rPr>
          <w:lang w:val="es-AR" w:eastAsia="es-AR" w:bidi="es-AR"/>
        </w:rPr>
        <w:t>Sabido es que en este tipo de procesos de familia rige el principio de libertad, amplitud y flexibilización probatoria, pero ello no exim</w:t>
      </w:r>
      <w:r>
        <w:rPr>
          <w:lang w:val="es-AR" w:eastAsia="es-AR" w:bidi="es-AR"/>
        </w:rPr>
        <w:t xml:space="preserve">e a las partes de la carga de acreditar los hechos constitutivos del derecho </w:t>
      </w:r>
      <w:proofErr w:type="gramStart"/>
      <w:r>
        <w:rPr>
          <w:lang w:val="es-AR" w:eastAsia="es-AR" w:bidi="es-AR"/>
        </w:rPr>
        <w:t>invocado.-</w:t>
      </w:r>
      <w:proofErr w:type="gramEnd"/>
    </w:p>
    <w:p w14:paraId="4963D705" w14:textId="7BFAE8B7" w:rsidR="00C90028" w:rsidRDefault="0089040C">
      <w:pPr>
        <w:pStyle w:val="Normal0"/>
        <w:spacing w:line="360" w:lineRule="auto"/>
        <w:ind w:firstLine="1134"/>
        <w:jc w:val="both"/>
        <w:rPr>
          <w:lang w:val="es-AR" w:eastAsia="es-AR" w:bidi="es-AR"/>
        </w:rPr>
      </w:pPr>
      <w:r>
        <w:rPr>
          <w:lang w:val="es-AR" w:eastAsia="es-AR" w:bidi="es-AR"/>
        </w:rPr>
        <w:t>Sobre tales premisas, no lucen en autos ningún tipo de prueba tendiente a acreditar los aportes de la Sra. N.</w:t>
      </w:r>
      <w:r>
        <w:rPr>
          <w:lang w:val="es-AR" w:eastAsia="es-AR" w:bidi="es-AR"/>
        </w:rPr>
        <w:t xml:space="preserve"> en la construcción del hogar, en la adquisición de algunos de los vehículos de los que hace mención o en la constitución del plazo fijo que fi</w:t>
      </w:r>
      <w:r>
        <w:rPr>
          <w:lang w:val="es-AR" w:eastAsia="es-AR" w:bidi="es-AR"/>
        </w:rPr>
        <w:t xml:space="preserve">gura a nombre del </w:t>
      </w:r>
      <w:proofErr w:type="gramStart"/>
      <w:r>
        <w:rPr>
          <w:lang w:val="es-AR" w:eastAsia="es-AR" w:bidi="es-AR"/>
        </w:rPr>
        <w:t>demandado.-</w:t>
      </w:r>
      <w:proofErr w:type="gramEnd"/>
    </w:p>
    <w:p w14:paraId="163CCA2A" w14:textId="77777777" w:rsidR="00C90028" w:rsidRDefault="0089040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eastAsia="Arial" w:hAnsi="Arial" w:cs="Arial"/>
          <w:sz w:val="24"/>
          <w:lang w:val="es-AR" w:eastAsia="es-AR" w:bidi="es-AR"/>
        </w:rPr>
      </w:pPr>
      <w:r>
        <w:rPr>
          <w:rFonts w:ascii="Arial" w:eastAsia="Arial" w:hAnsi="Arial" w:cs="Arial"/>
          <w:sz w:val="24"/>
          <w:lang w:val="es-AR" w:eastAsia="es-AR" w:bidi="es-AR"/>
        </w:rPr>
        <w:t>La prueba testimonial producida (ver acta de 26/5/2025) se limita a referencias indirectas, en tanto los testigos manifestaron conocer los supuestos aportes por dichos de la propia actora, lo que constituye testimonio de oídas, carente de eficacia probator</w:t>
      </w:r>
      <w:r>
        <w:rPr>
          <w:rFonts w:ascii="Arial" w:eastAsia="Arial" w:hAnsi="Arial" w:cs="Arial"/>
          <w:sz w:val="24"/>
          <w:lang w:val="es-AR" w:eastAsia="es-AR" w:bidi="es-AR"/>
        </w:rPr>
        <w:t xml:space="preserve">ia </w:t>
      </w:r>
      <w:proofErr w:type="gramStart"/>
      <w:r>
        <w:rPr>
          <w:rFonts w:ascii="Arial" w:eastAsia="Arial" w:hAnsi="Arial" w:cs="Arial"/>
          <w:sz w:val="24"/>
          <w:lang w:val="es-AR" w:eastAsia="es-AR" w:bidi="es-AR"/>
        </w:rPr>
        <w:t>suficiente.-</w:t>
      </w:r>
      <w:proofErr w:type="gramEnd"/>
    </w:p>
    <w:p w14:paraId="35245D96" w14:textId="77777777" w:rsidR="00C90028" w:rsidRDefault="0089040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eastAsia="Arial" w:hAnsi="Arial" w:cs="Arial"/>
          <w:sz w:val="24"/>
          <w:lang w:val="es-AR" w:eastAsia="es-AR" w:bidi="es-AR"/>
        </w:rPr>
      </w:pPr>
      <w:r>
        <w:rPr>
          <w:rFonts w:ascii="Arial" w:eastAsia="Arial" w:hAnsi="Arial" w:cs="Arial"/>
          <w:sz w:val="24"/>
          <w:lang w:val="es-AR" w:eastAsia="es-AR" w:bidi="es-AR"/>
        </w:rPr>
        <w:t>Al respecto se ha dicho "</w:t>
      </w:r>
      <w:r>
        <w:rPr>
          <w:rFonts w:ascii="Arial" w:eastAsia="Arial" w:hAnsi="Arial" w:cs="Arial"/>
          <w:i/>
          <w:sz w:val="24"/>
          <w:lang w:val="es-AR" w:eastAsia="es-AR" w:bidi="es-AR"/>
        </w:rPr>
        <w:t>Se entiende por testigo de referencia a aquellas personas físicas distintas de los sujetos legitimados en un proceso que trasmiten un conocimiento relativo a un hecho al cual han accedido mediante la percepción sens</w:t>
      </w:r>
      <w:r>
        <w:rPr>
          <w:rFonts w:ascii="Arial" w:eastAsia="Arial" w:hAnsi="Arial" w:cs="Arial"/>
          <w:i/>
          <w:sz w:val="24"/>
          <w:lang w:val="es-AR" w:eastAsia="es-AR" w:bidi="es-AR"/>
        </w:rPr>
        <w:t>orial de un tercero, verdadero testigo de lo acaecido. La eficacia probatoria de los dichos de estos "testigos de oídas" es sumamente restringida, desde que sólo acreditan haber escuchado un relato de boca ajena (arts. 384 y 456 del C.P.C.C.)"</w:t>
      </w:r>
      <w:r>
        <w:rPr>
          <w:rFonts w:ascii="Arial" w:eastAsia="Arial" w:hAnsi="Arial" w:cs="Arial"/>
          <w:sz w:val="24"/>
          <w:lang w:val="es-AR" w:eastAsia="es-AR" w:bidi="es-AR"/>
        </w:rPr>
        <w:t xml:space="preserve"> (CC0202 LP 1</w:t>
      </w:r>
      <w:r>
        <w:rPr>
          <w:rFonts w:ascii="Arial" w:eastAsia="Arial" w:hAnsi="Arial" w:cs="Arial"/>
          <w:sz w:val="24"/>
          <w:lang w:val="es-AR" w:eastAsia="es-AR" w:bidi="es-AR"/>
        </w:rPr>
        <w:t>28525 RSD 18/21 S 23/02/2021 JUBA B5074965</w:t>
      </w:r>
      <w:proofErr w:type="gramStart"/>
      <w:r>
        <w:rPr>
          <w:rFonts w:ascii="Arial" w:eastAsia="Arial" w:hAnsi="Arial" w:cs="Arial"/>
          <w:sz w:val="24"/>
          <w:lang w:val="es-AR" w:eastAsia="es-AR" w:bidi="es-AR"/>
        </w:rPr>
        <w:t>).-</w:t>
      </w:r>
      <w:proofErr w:type="gramEnd"/>
    </w:p>
    <w:p w14:paraId="4F272366" w14:textId="77777777" w:rsidR="00C90028" w:rsidRDefault="0089040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eastAsia="Arial" w:hAnsi="Arial" w:cs="Arial"/>
          <w:sz w:val="24"/>
          <w:lang w:val="es-AR" w:eastAsia="es-AR" w:bidi="es-AR"/>
        </w:rPr>
      </w:pPr>
      <w:r>
        <w:rPr>
          <w:rFonts w:ascii="Arial" w:eastAsia="Arial" w:hAnsi="Arial" w:cs="Arial"/>
          <w:sz w:val="24"/>
          <w:lang w:val="es-AR" w:eastAsia="es-AR" w:bidi="es-AR"/>
        </w:rPr>
        <w:t xml:space="preserve">Por lo tanto la valoración probatoria hecha por el magistrado de grado no luce irrazonable debiendo confirmar este punto del </w:t>
      </w:r>
      <w:proofErr w:type="gramStart"/>
      <w:r>
        <w:rPr>
          <w:rFonts w:ascii="Arial" w:eastAsia="Arial" w:hAnsi="Arial" w:cs="Arial"/>
          <w:sz w:val="24"/>
          <w:lang w:val="es-AR" w:eastAsia="es-AR" w:bidi="es-AR"/>
        </w:rPr>
        <w:t>fallo.-</w:t>
      </w:r>
      <w:proofErr w:type="gramEnd"/>
    </w:p>
    <w:p w14:paraId="2B85ED14" w14:textId="77777777" w:rsidR="00C90028" w:rsidRDefault="0089040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lang w:val="es-AR" w:eastAsia="es-AR" w:bidi="es-AR"/>
        </w:rPr>
      </w:pPr>
      <w:r>
        <w:rPr>
          <w:rFonts w:ascii="Arial" w:eastAsia="Arial" w:hAnsi="Arial" w:cs="Arial"/>
          <w:sz w:val="24"/>
          <w:lang w:val="es-AR" w:eastAsia="es-AR" w:bidi="es-AR"/>
        </w:rPr>
        <w:lastRenderedPageBreak/>
        <w:t>Respecto del agravio relativo a la omisión de juzgar con perspectiva de géner</w:t>
      </w:r>
      <w:r>
        <w:rPr>
          <w:rFonts w:ascii="Arial" w:eastAsia="Arial" w:hAnsi="Arial" w:cs="Arial"/>
          <w:sz w:val="24"/>
          <w:lang w:val="es-AR" w:eastAsia="es-AR" w:bidi="es-AR"/>
        </w:rPr>
        <w:t xml:space="preserve">o he de expresar mi discrepancia con el planteo realizado por la </w:t>
      </w:r>
      <w:proofErr w:type="gramStart"/>
      <w:r>
        <w:rPr>
          <w:rFonts w:ascii="Arial" w:eastAsia="Arial" w:hAnsi="Arial" w:cs="Arial"/>
          <w:sz w:val="24"/>
          <w:lang w:val="es-AR" w:eastAsia="es-AR" w:bidi="es-AR"/>
        </w:rPr>
        <w:t>accionante.-</w:t>
      </w:r>
      <w:proofErr w:type="gramEnd"/>
    </w:p>
    <w:p w14:paraId="4BE4D6C1" w14:textId="77777777" w:rsidR="00C90028" w:rsidRDefault="0089040C">
      <w:pPr>
        <w:pStyle w:val="Normal0"/>
        <w:spacing w:line="360" w:lineRule="auto"/>
        <w:ind w:firstLine="1134"/>
        <w:jc w:val="both"/>
        <w:rPr>
          <w:lang w:val="es-AR" w:eastAsia="es-AR" w:bidi="es-AR"/>
        </w:rPr>
      </w:pPr>
      <w:r>
        <w:rPr>
          <w:lang w:val="es-AR" w:eastAsia="es-AR" w:bidi="es-AR"/>
        </w:rPr>
        <w:t>En primer lugar, he de mencionar que el enfoque de género constituye una obligación constitucional y convencional para el Estado Argentino (art. 75 inc. 22 de la CN), más ello no</w:t>
      </w:r>
      <w:r>
        <w:rPr>
          <w:lang w:val="es-AR" w:eastAsia="es-AR" w:bidi="es-AR"/>
        </w:rPr>
        <w:t xml:space="preserve"> ha de traducirse en una aplicación de tal directiva bajo la lógica del todo o nada. En este sentido, es dable remarcar que el presupuesto objetivo para tornar operativas las reglas de actuación diferenciada por razones de género es la situación de asimetr</w:t>
      </w:r>
      <w:r>
        <w:rPr>
          <w:lang w:val="es-AR" w:eastAsia="es-AR" w:bidi="es-AR"/>
        </w:rPr>
        <w:t>ía relacional que coloca a la requirente en desventaja en el ejercicio de sus derechos en el marco del proceso y es, en esa medida, que deben modularse los estándares de gestión y decisión específicos que impone esta tutela subjetiva diferenciada (Cf. PICC</w:t>
      </w:r>
      <w:r>
        <w:rPr>
          <w:lang w:val="es-AR" w:eastAsia="es-AR" w:bidi="es-AR"/>
        </w:rPr>
        <w:t>INELLI, Ornela, Proceso civil con enfoque de géneros: ajustes en clave de igualdad. Publicado en Revista jurídica Universidad de Palermo</w:t>
      </w:r>
      <w:proofErr w:type="gramStart"/>
      <w:r>
        <w:rPr>
          <w:lang w:val="es-AR" w:eastAsia="es-AR" w:bidi="es-AR"/>
        </w:rPr>
        <w:t>).-</w:t>
      </w:r>
      <w:proofErr w:type="gramEnd"/>
      <w:r>
        <w:rPr>
          <w:lang w:val="es-AR" w:eastAsia="es-AR" w:bidi="es-AR"/>
        </w:rPr>
        <w:tab/>
      </w:r>
    </w:p>
    <w:p w14:paraId="250F96B0" w14:textId="77777777" w:rsidR="00C90028" w:rsidRDefault="0089040C">
      <w:pPr>
        <w:pStyle w:val="Normal0"/>
        <w:spacing w:line="360" w:lineRule="auto"/>
        <w:ind w:firstLine="1134"/>
        <w:jc w:val="both"/>
        <w:rPr>
          <w:lang w:val="es-AR" w:eastAsia="es-AR" w:bidi="es-AR"/>
        </w:rPr>
      </w:pPr>
      <w:r>
        <w:rPr>
          <w:lang w:val="es-AR" w:eastAsia="es-AR" w:bidi="es-AR"/>
        </w:rPr>
        <w:t xml:space="preserve"> En esa dirección, la propia Corte Interamericana ha puesto de manifiesto que </w:t>
      </w:r>
      <w:r>
        <w:rPr>
          <w:i/>
          <w:lang w:val="es-AR" w:eastAsia="es-AR" w:bidi="es-AR"/>
        </w:rPr>
        <w:t>“no toda violación de un derecho huma</w:t>
      </w:r>
      <w:r>
        <w:rPr>
          <w:i/>
          <w:lang w:val="es-AR" w:eastAsia="es-AR" w:bidi="es-AR"/>
        </w:rPr>
        <w:t>no cometido en perjuicio de una mujer conlleva necesariamente una violación de las disposiciones de la Convención de Belem do Pará. Es menester que la condición de especial vulnerabilidad por el hecho de ser mujer haya sido el presupuesto de esa transgresi</w:t>
      </w:r>
      <w:r>
        <w:rPr>
          <w:i/>
          <w:lang w:val="es-AR" w:eastAsia="es-AR" w:bidi="es-AR"/>
        </w:rPr>
        <w:t>ón”</w:t>
      </w:r>
      <w:r>
        <w:rPr>
          <w:lang w:val="es-AR" w:eastAsia="es-AR" w:bidi="es-AR"/>
        </w:rPr>
        <w:t xml:space="preserve"> (v. CIDH, caso “Perozo y ot. vs. Venezuela”, sent. del 28/01/2009, numeral 291/296</w:t>
      </w:r>
      <w:proofErr w:type="gramStart"/>
      <w:r>
        <w:rPr>
          <w:lang w:val="es-AR" w:eastAsia="es-AR" w:bidi="es-AR"/>
        </w:rPr>
        <w:t>).-</w:t>
      </w:r>
      <w:proofErr w:type="gramEnd"/>
    </w:p>
    <w:p w14:paraId="621498FB" w14:textId="77777777" w:rsidR="00C90028" w:rsidRDefault="0089040C">
      <w:pPr>
        <w:pStyle w:val="Normal0"/>
        <w:spacing w:line="360" w:lineRule="auto"/>
        <w:ind w:firstLine="1134"/>
        <w:jc w:val="both"/>
        <w:rPr>
          <w:lang w:val="es-AR" w:eastAsia="es-AR" w:bidi="es-AR"/>
        </w:rPr>
      </w:pPr>
      <w:r>
        <w:rPr>
          <w:lang w:val="es-AR" w:eastAsia="es-AR" w:bidi="es-AR"/>
        </w:rPr>
        <w:t xml:space="preserve">Conforme a dicha tónica, advierte Safi: </w:t>
      </w:r>
      <w:r>
        <w:rPr>
          <w:i/>
          <w:lang w:val="es-AR" w:eastAsia="es-AR" w:bidi="es-AR"/>
        </w:rPr>
        <w:t>“Estas cuestiones son cruciales para mantener el tema dentro de sus límites y evitar los excesos retóricos o incluso demagógic</w:t>
      </w:r>
      <w:r>
        <w:rPr>
          <w:i/>
          <w:lang w:val="es-AR" w:eastAsia="es-AR" w:bidi="es-AR"/>
        </w:rPr>
        <w:t>os que también comienzan a observarse en la litigación de los pleitos, en virtud de los cuales, por ejemplo, se pretenda invocar el rótulo de la vulnerabilidad en abstracto, con la mayor ligereza, sea con invocación de simples categorías, o frente a cualqu</w:t>
      </w:r>
      <w:r>
        <w:rPr>
          <w:i/>
          <w:lang w:val="es-AR" w:eastAsia="es-AR" w:bidi="es-AR"/>
        </w:rPr>
        <w:t xml:space="preserve">ier situación asimétrica de diferencia circunstancial entre las partes, inatingente al tema de la causa (invocación inconexa), o incluso, aun frente a una aplicación justificada, cuando se quisiera invocar ese régimen exorbitante como para </w:t>
      </w:r>
      <w:r>
        <w:rPr>
          <w:i/>
          <w:lang w:val="es-AR" w:eastAsia="es-AR" w:bidi="es-AR"/>
        </w:rPr>
        <w:lastRenderedPageBreak/>
        <w:t>tratar de acalla</w:t>
      </w:r>
      <w:r>
        <w:rPr>
          <w:i/>
          <w:lang w:val="es-AR" w:eastAsia="es-AR" w:bidi="es-AR"/>
        </w:rPr>
        <w:t>r livianamente las discusiones, sin el análisis de los argumentos, a fin de darle siempre la razón a la parte más débil, como si los juicios pudieran ganarse a solo título de vulnerabilidad (invocación irreflexiva)"</w:t>
      </w:r>
      <w:r>
        <w:rPr>
          <w:lang w:val="es-AR" w:eastAsia="es-AR" w:bidi="es-AR"/>
        </w:rPr>
        <w:t xml:space="preserve"> (SAFI, Leandro; Necesaria delimitación d</w:t>
      </w:r>
      <w:r>
        <w:rPr>
          <w:lang w:val="es-AR" w:eastAsia="es-AR" w:bidi="es-AR"/>
        </w:rPr>
        <w:t>e la vulnerabilidad y de su tutela diferenciada. En JA 2021 - IV, fasc. 2, 06/10/2021, p. 17</w:t>
      </w:r>
      <w:proofErr w:type="gramStart"/>
      <w:r>
        <w:rPr>
          <w:lang w:val="es-AR" w:eastAsia="es-AR" w:bidi="es-AR"/>
        </w:rPr>
        <w:t>).-</w:t>
      </w:r>
      <w:proofErr w:type="gramEnd"/>
    </w:p>
    <w:p w14:paraId="4B3DB41E" w14:textId="77777777" w:rsidR="00C90028" w:rsidRDefault="0089040C">
      <w:pPr>
        <w:pStyle w:val="Normal0"/>
        <w:spacing w:line="360" w:lineRule="auto"/>
        <w:ind w:firstLine="1134"/>
        <w:jc w:val="both"/>
        <w:rPr>
          <w:lang w:val="es-AR" w:eastAsia="es-AR" w:bidi="es-AR"/>
        </w:rPr>
      </w:pPr>
      <w:r>
        <w:rPr>
          <w:lang w:val="es-AR" w:eastAsia="es-AR" w:bidi="es-AR"/>
        </w:rPr>
        <w:t>Sobre esta base y trasladando tales parámetros al análisis del caso, es dable referir que la operatividad de la tutela -cuanto menos- impondría revisar si el co</w:t>
      </w:r>
      <w:r>
        <w:rPr>
          <w:lang w:val="es-AR" w:eastAsia="es-AR" w:bidi="es-AR"/>
        </w:rPr>
        <w:t xml:space="preserve">nflicto: i) involucra una relación de poder o asimetría basada en el género; ii) se desarrolla un contexto de violencia (en cualquiera de sus formas), discriminación o vulnerabilidad </w:t>
      </w:r>
      <w:proofErr w:type="gramStart"/>
      <w:r>
        <w:rPr>
          <w:lang w:val="es-AR" w:eastAsia="es-AR" w:bidi="es-AR"/>
        </w:rPr>
        <w:t>derivada.-</w:t>
      </w:r>
      <w:proofErr w:type="gramEnd"/>
      <w:r>
        <w:rPr>
          <w:lang w:val="es-AR" w:eastAsia="es-AR" w:bidi="es-AR"/>
        </w:rPr>
        <w:t xml:space="preserve"> </w:t>
      </w:r>
    </w:p>
    <w:p w14:paraId="1933C20F" w14:textId="77777777" w:rsidR="00C90028" w:rsidRDefault="0089040C">
      <w:pPr>
        <w:pStyle w:val="Normal0"/>
        <w:spacing w:line="360" w:lineRule="auto"/>
        <w:ind w:firstLine="1134"/>
        <w:jc w:val="both"/>
        <w:rPr>
          <w:lang w:val="es-AR" w:eastAsia="es-AR" w:bidi="es-AR"/>
        </w:rPr>
      </w:pPr>
      <w:r>
        <w:rPr>
          <w:lang w:val="es-AR" w:eastAsia="es-AR" w:bidi="es-AR"/>
        </w:rPr>
        <w:t>Como derivación práctica de lo anterior, habrá casos en los q</w:t>
      </w:r>
      <w:r>
        <w:rPr>
          <w:lang w:val="es-AR" w:eastAsia="es-AR" w:bidi="es-AR"/>
        </w:rPr>
        <w:t>ue la perspectiva de género justifique una injerencia intensa y amplia sobre el proceso judicial por mediar una marcada y profunda asimetría por motivo de género entre los sujetos del proceso. Otros supuestos en los que la perspectiva de género arroje cons</w:t>
      </w:r>
      <w:r>
        <w:rPr>
          <w:lang w:val="es-AR" w:eastAsia="es-AR" w:bidi="es-AR"/>
        </w:rPr>
        <w:t>ecuencias limitadas por no gravitar en ellos un desbalance pronunciado en las relaciones de poder entre los sujetos procesales e incluso pueden presentarse situaciones en las que las diferencias de género no tengan incidencia alguna en la generación de rel</w:t>
      </w:r>
      <w:r>
        <w:rPr>
          <w:lang w:val="es-AR" w:eastAsia="es-AR" w:bidi="es-AR"/>
        </w:rPr>
        <w:t xml:space="preserve">aciones o tendencias asimétricas entre las partes y, por ende, no corresponda efectuar ajustes del proceso en función de tal circunstancia.-  </w:t>
      </w:r>
      <w:r>
        <w:rPr>
          <w:lang w:val="es-AR" w:eastAsia="es-AR" w:bidi="es-AR"/>
        </w:rPr>
        <w:br/>
        <w:t xml:space="preserve"> </w:t>
      </w:r>
      <w:r>
        <w:rPr>
          <w:lang w:val="es-AR" w:eastAsia="es-AR" w:bidi="es-AR"/>
        </w:rPr>
        <w:tab/>
        <w:t xml:space="preserve">Dicho de otro modo, la sola participación en el litigio de una mujer o de una persona que integre el colectivo </w:t>
      </w:r>
      <w:r>
        <w:rPr>
          <w:lang w:val="es-AR" w:eastAsia="es-AR" w:bidi="es-AR"/>
        </w:rPr>
        <w:t>que identificaré aquí como de las disidencias sexuales, no torna necesaria la implementación de esta especial forma de tutela. Ni su carácter imperativo, ni la finalidad niveladora que la inspira justifican tal generalización. Un análisis de este tenor fue</w:t>
      </w:r>
      <w:r>
        <w:rPr>
          <w:lang w:val="es-AR" w:eastAsia="es-AR" w:bidi="es-AR"/>
        </w:rPr>
        <w:t xml:space="preserve"> realizado en el marco de un proceso de daños originado en un accidente de tránsito al señalarse, frente al requerimiento de aplicación de esta especial herramienta de tutela que </w:t>
      </w:r>
      <w:r>
        <w:rPr>
          <w:i/>
          <w:lang w:val="es-AR" w:eastAsia="es-AR" w:bidi="es-AR"/>
        </w:rPr>
        <w:t>“en la especie, no se advierte que el género de la actora tenga un papel tras</w:t>
      </w:r>
      <w:r>
        <w:rPr>
          <w:i/>
          <w:lang w:val="es-AR" w:eastAsia="es-AR" w:bidi="es-AR"/>
        </w:rPr>
        <w:t>cedente en la controversia"</w:t>
      </w:r>
      <w:r>
        <w:rPr>
          <w:lang w:val="es-AR" w:eastAsia="es-AR" w:bidi="es-AR"/>
        </w:rPr>
        <w:t xml:space="preserve"> (CCLP, sala II: causa 273.911 “CIVELLO BIANCA C/VELA WAC ATILIO y OTR. S/DAÑOS Y PERJUICIOS”, sent. del 8/6/21</w:t>
      </w:r>
      <w:proofErr w:type="gramStart"/>
      <w:r>
        <w:rPr>
          <w:lang w:val="es-AR" w:eastAsia="es-AR" w:bidi="es-AR"/>
        </w:rPr>
        <w:t>).-</w:t>
      </w:r>
      <w:proofErr w:type="gramEnd"/>
    </w:p>
    <w:p w14:paraId="71A88726" w14:textId="77777777" w:rsidR="00C90028" w:rsidRDefault="0089040C">
      <w:pPr>
        <w:pStyle w:val="Normal0"/>
        <w:spacing w:line="360" w:lineRule="auto"/>
        <w:ind w:firstLine="1134"/>
        <w:jc w:val="both"/>
        <w:rPr>
          <w:lang w:val="es-AR" w:eastAsia="es-AR" w:bidi="es-AR"/>
        </w:rPr>
      </w:pPr>
      <w:r>
        <w:rPr>
          <w:lang w:val="es-AR" w:eastAsia="es-AR" w:bidi="es-AR"/>
        </w:rPr>
        <w:lastRenderedPageBreak/>
        <w:t>En la especie, comparto el criterio de que los conflictos familiares deben analizarse a la luz de los estándares d</w:t>
      </w:r>
      <w:r>
        <w:rPr>
          <w:lang w:val="es-AR" w:eastAsia="es-AR" w:bidi="es-AR"/>
        </w:rPr>
        <w:t xml:space="preserve">e igualdad y no discriminación, especialmente cuando se verifican asimetrías económicas o roles históricamente </w:t>
      </w:r>
      <w:proofErr w:type="gramStart"/>
      <w:r>
        <w:rPr>
          <w:lang w:val="es-AR" w:eastAsia="es-AR" w:bidi="es-AR"/>
        </w:rPr>
        <w:t>asignados.-</w:t>
      </w:r>
      <w:proofErr w:type="gramEnd"/>
    </w:p>
    <w:p w14:paraId="6955A481" w14:textId="77777777" w:rsidR="00C90028" w:rsidRDefault="0089040C">
      <w:pPr>
        <w:pStyle w:val="Normal0"/>
        <w:spacing w:line="360" w:lineRule="auto"/>
        <w:ind w:firstLine="1134"/>
        <w:jc w:val="both"/>
        <w:rPr>
          <w:lang w:val="es-AR" w:eastAsia="es-AR" w:bidi="es-AR"/>
        </w:rPr>
      </w:pPr>
      <w:r>
        <w:rPr>
          <w:lang w:val="es-AR" w:eastAsia="es-AR" w:bidi="es-AR"/>
        </w:rPr>
        <w:t>Sin embargo, la perspectiva de género no exime la acreditación mínima de los presupuestos fácticos de la pretensión, debido a que, di</w:t>
      </w:r>
      <w:r>
        <w:rPr>
          <w:lang w:val="es-AR" w:eastAsia="es-AR" w:bidi="es-AR"/>
        </w:rPr>
        <w:t xml:space="preserve">cha perspectiva no autoriza a presumir aportes patrimoniales inexistentes o no </w:t>
      </w:r>
      <w:proofErr w:type="gramStart"/>
      <w:r>
        <w:rPr>
          <w:lang w:val="es-AR" w:eastAsia="es-AR" w:bidi="es-AR"/>
        </w:rPr>
        <w:t>acreditados.-</w:t>
      </w:r>
      <w:proofErr w:type="gramEnd"/>
    </w:p>
    <w:p w14:paraId="1594D1B1" w14:textId="77777777" w:rsidR="00C90028" w:rsidRDefault="0089040C">
      <w:pPr>
        <w:pStyle w:val="Normal0"/>
        <w:spacing w:line="360" w:lineRule="auto"/>
        <w:ind w:firstLine="1134"/>
        <w:jc w:val="both"/>
        <w:rPr>
          <w:lang w:val="es-AR" w:eastAsia="es-AR" w:bidi="es-AR"/>
        </w:rPr>
      </w:pPr>
      <w:r>
        <w:rPr>
          <w:lang w:val="es-AR" w:eastAsia="es-AR" w:bidi="es-AR"/>
        </w:rPr>
        <w:t>De los dichos de la propia N. surge que el demandado contaba con empleo formal y acreditación de ingresos, mientras que ella se desempeñaba como trabajadora de cas</w:t>
      </w:r>
      <w:r>
        <w:rPr>
          <w:lang w:val="es-AR" w:eastAsia="es-AR" w:bidi="es-AR"/>
        </w:rPr>
        <w:t xml:space="preserve">as particulares sin demostrar aportes específicos sobre los bienes </w:t>
      </w:r>
      <w:proofErr w:type="gramStart"/>
      <w:r>
        <w:rPr>
          <w:lang w:val="es-AR" w:eastAsia="es-AR" w:bidi="es-AR"/>
        </w:rPr>
        <w:t>discutidos.-</w:t>
      </w:r>
      <w:proofErr w:type="gramEnd"/>
    </w:p>
    <w:p w14:paraId="093D2B33" w14:textId="77777777" w:rsidR="00C90028" w:rsidRDefault="0089040C">
      <w:pPr>
        <w:pStyle w:val="Normal0"/>
        <w:spacing w:line="360" w:lineRule="auto"/>
        <w:ind w:firstLine="1134"/>
        <w:jc w:val="both"/>
        <w:rPr>
          <w:lang w:val="es-AR" w:eastAsia="es-AR" w:bidi="es-AR"/>
        </w:rPr>
      </w:pPr>
      <w:r>
        <w:rPr>
          <w:lang w:val="es-AR" w:eastAsia="es-AR" w:bidi="es-AR"/>
        </w:rPr>
        <w:t>En tales condiciones, no se advierte que la sentencia recurrida haya incurrido en un análisis desprovisto de perspectiva de género, sino que se limitó a resolver a partir de la</w:t>
      </w:r>
      <w:r>
        <w:rPr>
          <w:lang w:val="es-AR" w:eastAsia="es-AR" w:bidi="es-AR"/>
        </w:rPr>
        <w:t xml:space="preserve"> prueba existente en el </w:t>
      </w:r>
      <w:proofErr w:type="gramStart"/>
      <w:r>
        <w:rPr>
          <w:lang w:val="es-AR" w:eastAsia="es-AR" w:bidi="es-AR"/>
        </w:rPr>
        <w:t>caso.-</w:t>
      </w:r>
      <w:proofErr w:type="gramEnd"/>
    </w:p>
    <w:p w14:paraId="0AAF0A57" w14:textId="77777777" w:rsidR="00C90028" w:rsidRDefault="0089040C">
      <w:pPr>
        <w:pStyle w:val="Normal0"/>
        <w:spacing w:line="360" w:lineRule="auto"/>
        <w:ind w:firstLine="1134"/>
        <w:jc w:val="both"/>
        <w:rPr>
          <w:b/>
          <w:lang w:val="es-AR" w:eastAsia="es-AR" w:bidi="es-AR"/>
        </w:rPr>
      </w:pPr>
      <w:r>
        <w:rPr>
          <w:lang w:val="es-AR" w:eastAsia="es-AR" w:bidi="es-AR"/>
        </w:rPr>
        <w:t xml:space="preserve">Además, </w:t>
      </w:r>
      <w:r>
        <w:rPr>
          <w:i/>
          <w:lang w:val="es-AR" w:eastAsia="es-AR" w:bidi="es-AR"/>
        </w:rPr>
        <w:t>"La aplicación infundada de la visión o perspectiva de género llevándola a supuestos no contemplados, desvirtúa sus principios y los objetivos que tiene en miras el trabajo permanente que distintos sectores de la soci</w:t>
      </w:r>
      <w:r>
        <w:rPr>
          <w:i/>
          <w:lang w:val="es-AR" w:eastAsia="es-AR" w:bidi="es-AR"/>
        </w:rPr>
        <w:t>edad realizamos para su efectiva consagración. Es decir que, utilizándola de modo indiscriminado a cualquier supuesto, se la banaliza y reduce su efectiva implementación"</w:t>
      </w:r>
      <w:r>
        <w:rPr>
          <w:lang w:val="es-AR" w:eastAsia="es-AR" w:bidi="es-AR"/>
        </w:rPr>
        <w:t xml:space="preserve"> (CC0202 LP 135181 RSD 318/2023 S 02/11/2023 </w:t>
      </w:r>
      <w:proofErr w:type="gramStart"/>
      <w:r>
        <w:rPr>
          <w:lang w:val="es-AR" w:eastAsia="es-AR" w:bidi="es-AR"/>
        </w:rPr>
        <w:t>JUBA  B</w:t>
      </w:r>
      <w:proofErr w:type="gramEnd"/>
      <w:r>
        <w:rPr>
          <w:lang w:val="es-AR" w:eastAsia="es-AR" w:bidi="es-AR"/>
        </w:rPr>
        <w:t>5088718).-</w:t>
      </w:r>
    </w:p>
    <w:p w14:paraId="782C51AA" w14:textId="77777777" w:rsidR="00C90028" w:rsidRDefault="0089040C">
      <w:pPr>
        <w:pStyle w:val="Normal0"/>
        <w:spacing w:line="360" w:lineRule="auto"/>
        <w:ind w:firstLine="1134"/>
        <w:jc w:val="both"/>
        <w:rPr>
          <w:lang w:val="es-AR" w:eastAsia="es-AR" w:bidi="es-AR"/>
        </w:rPr>
      </w:pPr>
      <w:r>
        <w:rPr>
          <w:lang w:val="es-AR" w:eastAsia="es-AR" w:bidi="es-AR"/>
        </w:rPr>
        <w:t>Misma suerte ha de corr</w:t>
      </w:r>
      <w:r>
        <w:rPr>
          <w:lang w:val="es-AR" w:eastAsia="es-AR" w:bidi="es-AR"/>
        </w:rPr>
        <w:t xml:space="preserve">er la queja de la actora que se asienta sobre el enriquecimiento sin causa del </w:t>
      </w:r>
      <w:proofErr w:type="gramStart"/>
      <w:r>
        <w:rPr>
          <w:lang w:val="es-AR" w:eastAsia="es-AR" w:bidi="es-AR"/>
        </w:rPr>
        <w:t>demandado.-</w:t>
      </w:r>
      <w:proofErr w:type="gramEnd"/>
    </w:p>
    <w:p w14:paraId="5745F173" w14:textId="77777777" w:rsidR="00C90028" w:rsidRDefault="0089040C">
      <w:pPr>
        <w:pStyle w:val="Normal0"/>
        <w:spacing w:line="360" w:lineRule="auto"/>
        <w:ind w:firstLine="1134"/>
        <w:jc w:val="both"/>
        <w:rPr>
          <w:lang w:val="es-AR" w:eastAsia="es-AR" w:bidi="es-AR"/>
        </w:rPr>
      </w:pPr>
      <w:r>
        <w:rPr>
          <w:lang w:val="es-AR" w:eastAsia="es-AR" w:bidi="es-AR"/>
        </w:rPr>
        <w:t xml:space="preserve">Sobre este instituto se ha dicho </w:t>
      </w:r>
      <w:r>
        <w:rPr>
          <w:i/>
          <w:lang w:val="es-AR" w:eastAsia="es-AR" w:bidi="es-AR"/>
        </w:rPr>
        <w:t>"Habrá enriquecimiento sin causa cuando medie el desplazamiento de un bien, o un valor, del patrimonio de una persona, al patrimonio</w:t>
      </w:r>
      <w:r>
        <w:rPr>
          <w:i/>
          <w:lang w:val="es-AR" w:eastAsia="es-AR" w:bidi="es-AR"/>
        </w:rPr>
        <w:t xml:space="preserve"> de otra, sin que exista un título o causa jurídica que justifique ese traspaso"</w:t>
      </w:r>
      <w:r>
        <w:rPr>
          <w:lang w:val="es-AR" w:eastAsia="es-AR" w:bidi="es-AR"/>
        </w:rPr>
        <w:t xml:space="preserve"> (Herrera-Caramelo-Picasso Código Civil y Comercial de la Nación Comentado, Tomo lII, Infojus, Edición Actualizada año 2022 comentario artículo 1794 págs 550</w:t>
      </w:r>
      <w:proofErr w:type="gramStart"/>
      <w:r>
        <w:rPr>
          <w:lang w:val="es-AR" w:eastAsia="es-AR" w:bidi="es-AR"/>
        </w:rPr>
        <w:t>).-</w:t>
      </w:r>
      <w:proofErr w:type="gramEnd"/>
    </w:p>
    <w:p w14:paraId="314CAB02" w14:textId="77777777" w:rsidR="00C90028" w:rsidRDefault="0089040C">
      <w:pPr>
        <w:pStyle w:val="Normal0"/>
        <w:spacing w:line="360" w:lineRule="auto"/>
        <w:ind w:firstLine="1134"/>
        <w:jc w:val="both"/>
        <w:rPr>
          <w:lang w:val="es-AR" w:eastAsia="es-AR" w:bidi="es-AR"/>
        </w:rPr>
      </w:pPr>
      <w:r>
        <w:rPr>
          <w:lang w:val="es-AR" w:eastAsia="es-AR" w:bidi="es-AR"/>
        </w:rPr>
        <w:t>Es decir, que p</w:t>
      </w:r>
      <w:r>
        <w:rPr>
          <w:lang w:val="es-AR" w:eastAsia="es-AR" w:bidi="es-AR"/>
        </w:rPr>
        <w:t xml:space="preserve">ara que medie esta acción requiere la concurrencia </w:t>
      </w:r>
      <w:r>
        <w:rPr>
          <w:lang w:val="es-AR" w:eastAsia="es-AR" w:bidi="es-AR"/>
        </w:rPr>
        <w:lastRenderedPageBreak/>
        <w:t>de 5 requisitos: 1) Enriquecimiento de una parte; 2</w:t>
      </w:r>
      <w:proofErr w:type="gramStart"/>
      <w:r>
        <w:rPr>
          <w:lang w:val="es-AR" w:eastAsia="es-AR" w:bidi="es-AR"/>
        </w:rPr>
        <w:t>)  empobrecimiento</w:t>
      </w:r>
      <w:proofErr w:type="gramEnd"/>
      <w:r>
        <w:rPr>
          <w:lang w:val="es-AR" w:eastAsia="es-AR" w:bidi="es-AR"/>
        </w:rPr>
        <w:t xml:space="preserve"> de la otra; 3) correlación entre el empobrecimiento y el enriquecimiento; 4) ausencia de una causa lícita y 5) inexistencia de otra acc</w:t>
      </w:r>
      <w:r>
        <w:rPr>
          <w:lang w:val="es-AR" w:eastAsia="es-AR" w:bidi="es-AR"/>
        </w:rPr>
        <w:t>ión.-</w:t>
      </w:r>
    </w:p>
    <w:p w14:paraId="65494A95" w14:textId="77777777" w:rsidR="00C90028" w:rsidRDefault="0089040C">
      <w:pPr>
        <w:pStyle w:val="Normal0"/>
        <w:spacing w:line="360" w:lineRule="auto"/>
        <w:ind w:firstLine="1134"/>
        <w:jc w:val="both"/>
        <w:rPr>
          <w:lang w:val="es-AR" w:eastAsia="es-AR" w:bidi="es-AR"/>
        </w:rPr>
      </w:pPr>
      <w:r>
        <w:rPr>
          <w:lang w:val="es-AR" w:eastAsia="es-AR" w:bidi="es-AR"/>
        </w:rPr>
        <w:t xml:space="preserve">En el presente caso, y como he venido sosteniendo a lo largo del presente voto no logró acreditar la actora su empobrecimiento patrimonial ni aportes capaz de generar el enriquecimiento del </w:t>
      </w:r>
      <w:proofErr w:type="gramStart"/>
      <w:r>
        <w:rPr>
          <w:lang w:val="es-AR" w:eastAsia="es-AR" w:bidi="es-AR"/>
        </w:rPr>
        <w:t>demandado.-</w:t>
      </w:r>
      <w:proofErr w:type="gramEnd"/>
    </w:p>
    <w:p w14:paraId="47BF34AF" w14:textId="77777777" w:rsidR="00C90028" w:rsidRDefault="0089040C">
      <w:pPr>
        <w:pStyle w:val="Normal0"/>
        <w:spacing w:line="360" w:lineRule="auto"/>
        <w:ind w:firstLine="1134"/>
        <w:jc w:val="both"/>
        <w:rPr>
          <w:lang w:val="es-AR" w:eastAsia="es-AR" w:bidi="es-AR"/>
        </w:rPr>
      </w:pPr>
      <w:r>
        <w:rPr>
          <w:lang w:val="es-AR" w:eastAsia="es-AR" w:bidi="es-AR"/>
        </w:rPr>
        <w:t>La mera convivencia o colaboración que ella real</w:t>
      </w:r>
      <w:r>
        <w:rPr>
          <w:lang w:val="es-AR" w:eastAsia="es-AR" w:bidi="es-AR"/>
        </w:rPr>
        <w:t xml:space="preserve">izaba en la tareas o gastos que son propios del hogar, no constituyen en si mismas, un empobrecimiento patrimonial indemnizable, dado que se presume que ambas partes realizaban dichos aportes por </w:t>
      </w:r>
      <w:proofErr w:type="gramStart"/>
      <w:r>
        <w:rPr>
          <w:lang w:val="es-AR" w:eastAsia="es-AR" w:bidi="es-AR"/>
        </w:rPr>
        <w:t>igual.-</w:t>
      </w:r>
      <w:proofErr w:type="gramEnd"/>
    </w:p>
    <w:p w14:paraId="0D54EF66" w14:textId="77777777" w:rsidR="00C90028" w:rsidRDefault="0089040C">
      <w:pPr>
        <w:pStyle w:val="Normal0"/>
        <w:spacing w:line="360" w:lineRule="auto"/>
        <w:ind w:firstLine="1134"/>
        <w:jc w:val="both"/>
        <w:rPr>
          <w:lang w:val="es-AR" w:eastAsia="es-AR" w:bidi="es-AR"/>
        </w:rPr>
      </w:pPr>
      <w:r>
        <w:rPr>
          <w:lang w:val="es-AR" w:eastAsia="es-AR" w:bidi="es-AR"/>
        </w:rPr>
        <w:t>Por ultimo, tampoco puedo atender la queja de la dol</w:t>
      </w:r>
      <w:r>
        <w:rPr>
          <w:lang w:val="es-AR" w:eastAsia="es-AR" w:bidi="es-AR"/>
        </w:rPr>
        <w:t xml:space="preserve">iente de que el a quo se aparta del principio de solidaridad y el carácter equitativo y reparador del derecho de </w:t>
      </w:r>
      <w:proofErr w:type="gramStart"/>
      <w:r>
        <w:rPr>
          <w:lang w:val="es-AR" w:eastAsia="es-AR" w:bidi="es-AR"/>
        </w:rPr>
        <w:t>familia.-</w:t>
      </w:r>
      <w:proofErr w:type="gramEnd"/>
    </w:p>
    <w:p w14:paraId="0E70DD05" w14:textId="77777777" w:rsidR="00C90028" w:rsidRDefault="0089040C">
      <w:pPr>
        <w:pStyle w:val="Normal0"/>
        <w:spacing w:line="360" w:lineRule="auto"/>
        <w:ind w:firstLine="1134"/>
        <w:jc w:val="both"/>
        <w:rPr>
          <w:lang w:val="es-AR" w:eastAsia="es-AR" w:bidi="es-AR"/>
        </w:rPr>
      </w:pPr>
      <w:r>
        <w:rPr>
          <w:lang w:val="es-AR" w:eastAsia="es-AR" w:bidi="es-AR"/>
        </w:rPr>
        <w:t>Es cierto que el derecho de familia (particularmente a partir de la sanción del Código Civil y Comercial) se encuentra inspirado en p</w:t>
      </w:r>
      <w:r>
        <w:rPr>
          <w:lang w:val="es-AR" w:eastAsia="es-AR" w:bidi="es-AR"/>
        </w:rPr>
        <w:t>rincipios de solidaridad familiar, protección de las personas en situación de vulnerabilidad y equidad en las relaciones familiares. Sin embargo, tales principios no habilitan al juez a prescindir de los presupuestos legales que rigen cada instituto ni a c</w:t>
      </w:r>
      <w:r>
        <w:rPr>
          <w:lang w:val="es-AR" w:eastAsia="es-AR" w:bidi="es-AR"/>
        </w:rPr>
        <w:t xml:space="preserve">rear derechos patrimoniales al margen del marco normativo </w:t>
      </w:r>
      <w:proofErr w:type="gramStart"/>
      <w:r>
        <w:rPr>
          <w:lang w:val="es-AR" w:eastAsia="es-AR" w:bidi="es-AR"/>
        </w:rPr>
        <w:t>vigente.-</w:t>
      </w:r>
      <w:proofErr w:type="gramEnd"/>
    </w:p>
    <w:p w14:paraId="1ADBCECD" w14:textId="77777777" w:rsidR="00C90028" w:rsidRDefault="0089040C">
      <w:pPr>
        <w:pStyle w:val="Normal0"/>
        <w:spacing w:line="360" w:lineRule="auto"/>
        <w:ind w:firstLine="1134"/>
        <w:jc w:val="both"/>
        <w:rPr>
          <w:lang w:val="es-AR" w:eastAsia="es-AR" w:bidi="es-AR"/>
        </w:rPr>
      </w:pPr>
      <w:r>
        <w:rPr>
          <w:lang w:val="es-AR" w:eastAsia="es-AR" w:bidi="es-AR"/>
        </w:rPr>
        <w:t xml:space="preserve">En materia de uniones convivenciales, el legislador ha </w:t>
      </w:r>
      <w:proofErr w:type="gramStart"/>
      <w:r>
        <w:rPr>
          <w:lang w:val="es-AR" w:eastAsia="es-AR" w:bidi="es-AR"/>
        </w:rPr>
        <w:t>optado  por</w:t>
      </w:r>
      <w:proofErr w:type="gramEnd"/>
      <w:r>
        <w:rPr>
          <w:lang w:val="es-AR" w:eastAsia="es-AR" w:bidi="es-AR"/>
        </w:rPr>
        <w:t xml:space="preserve"> un sistema basado en la autonomía patrimonial de los convivientes, sin establecer un régimen de comunidad de bienes simil</w:t>
      </w:r>
      <w:r>
        <w:rPr>
          <w:lang w:val="es-AR" w:eastAsia="es-AR" w:bidi="es-AR"/>
        </w:rPr>
        <w:t>ar al matrimonial (arts. 518 y concs. CCyC). De allí que la eventual participación de uno de los convivientes en bienes adquiridos por el otro deba fundarse en la acreditación concreta de aportes o en una causa jurídica que justifique el desplazamiento pat</w:t>
      </w:r>
      <w:r>
        <w:rPr>
          <w:lang w:val="es-AR" w:eastAsia="es-AR" w:bidi="es-AR"/>
        </w:rPr>
        <w:t xml:space="preserve">rimonial </w:t>
      </w:r>
      <w:proofErr w:type="gramStart"/>
      <w:r>
        <w:rPr>
          <w:lang w:val="es-AR" w:eastAsia="es-AR" w:bidi="es-AR"/>
        </w:rPr>
        <w:t>pretendido.-</w:t>
      </w:r>
      <w:proofErr w:type="gramEnd"/>
    </w:p>
    <w:p w14:paraId="7D995AF9" w14:textId="77777777" w:rsidR="00C90028" w:rsidRDefault="0089040C">
      <w:pPr>
        <w:pStyle w:val="Normal0"/>
        <w:spacing w:line="360" w:lineRule="auto"/>
        <w:ind w:firstLine="1134"/>
        <w:jc w:val="both"/>
        <w:rPr>
          <w:lang w:val="es-AR" w:eastAsia="es-AR" w:bidi="es-AR"/>
        </w:rPr>
      </w:pPr>
      <w:r>
        <w:rPr>
          <w:lang w:val="es-AR" w:eastAsia="es-AR" w:bidi="es-AR"/>
        </w:rPr>
        <w:t>La invocación de la finalidad reparadora del derecho de familia no suple la ausencia de prueba ni permite presumir aportes económicos que no han sido demostrados en autos, pues ello importaría alterar el diseño legal del régimen patri</w:t>
      </w:r>
      <w:r>
        <w:rPr>
          <w:lang w:val="es-AR" w:eastAsia="es-AR" w:bidi="es-AR"/>
        </w:rPr>
        <w:t xml:space="preserve">monial de las uniones </w:t>
      </w:r>
      <w:proofErr w:type="gramStart"/>
      <w:r>
        <w:rPr>
          <w:lang w:val="es-AR" w:eastAsia="es-AR" w:bidi="es-AR"/>
        </w:rPr>
        <w:t>convivenciales.-</w:t>
      </w:r>
      <w:proofErr w:type="gramEnd"/>
    </w:p>
    <w:p w14:paraId="7F43EDC0" w14:textId="77777777" w:rsidR="00C90028" w:rsidRDefault="0089040C">
      <w:pPr>
        <w:pStyle w:val="Normal0"/>
        <w:spacing w:line="360" w:lineRule="auto"/>
        <w:ind w:firstLine="1134"/>
        <w:jc w:val="both"/>
        <w:rPr>
          <w:lang w:val="es-AR" w:eastAsia="es-AR" w:bidi="es-AR"/>
        </w:rPr>
      </w:pPr>
      <w:r>
        <w:rPr>
          <w:lang w:val="es-AR" w:eastAsia="es-AR" w:bidi="es-AR"/>
        </w:rPr>
        <w:lastRenderedPageBreak/>
        <w:t>En el caso, no se ha acreditado que la actora haya realizado contribuciones económicas o patrimoniales susceptibles de justificar la participación que reclama sobre los bienes cuya titularidad corresponde al demandado. En tales condiciones, la sentencia re</w:t>
      </w:r>
      <w:r>
        <w:rPr>
          <w:lang w:val="es-AR" w:eastAsia="es-AR" w:bidi="es-AR"/>
        </w:rPr>
        <w:t xml:space="preserve">currida no desconoce la finalidad protectoria del derecho de familia, sino que aplica correctamente el régimen jurídico vigente a partir de la prueba producida en la </w:t>
      </w:r>
      <w:proofErr w:type="gramStart"/>
      <w:r>
        <w:rPr>
          <w:lang w:val="es-AR" w:eastAsia="es-AR" w:bidi="es-AR"/>
        </w:rPr>
        <w:t>causa.-</w:t>
      </w:r>
      <w:proofErr w:type="gramEnd"/>
    </w:p>
    <w:p w14:paraId="6C04E325" w14:textId="77777777" w:rsidR="00C90028" w:rsidRDefault="0089040C">
      <w:pPr>
        <w:pStyle w:val="Normal0"/>
        <w:spacing w:line="360" w:lineRule="auto"/>
        <w:ind w:firstLine="1134"/>
        <w:jc w:val="both"/>
        <w:rPr>
          <w:lang w:val="es-AR" w:eastAsia="es-AR" w:bidi="es-AR"/>
        </w:rPr>
      </w:pPr>
      <w:r>
        <w:rPr>
          <w:lang w:val="es-AR" w:eastAsia="es-AR" w:bidi="es-AR"/>
        </w:rPr>
        <w:t>Por las razones dadas, citas legales de referencia y con el alcance indicado,</w:t>
      </w:r>
    </w:p>
    <w:p w14:paraId="128B0126" w14:textId="77777777" w:rsidR="00C90028" w:rsidRDefault="0089040C">
      <w:pPr>
        <w:pStyle w:val="Normal0"/>
        <w:spacing w:line="360" w:lineRule="auto"/>
        <w:ind w:firstLine="1134"/>
        <w:jc w:val="both"/>
        <w:rPr>
          <w:lang w:val="es-AR" w:eastAsia="es-AR" w:bidi="es-AR"/>
        </w:rPr>
      </w:pPr>
      <w:r>
        <w:rPr>
          <w:b/>
          <w:lang w:val="es-AR" w:eastAsia="es-AR" w:bidi="es-AR"/>
        </w:rPr>
        <w:t xml:space="preserve">VOTO POR LA </w:t>
      </w:r>
      <w:proofErr w:type="gramStart"/>
      <w:r>
        <w:rPr>
          <w:b/>
          <w:lang w:val="es-AR" w:eastAsia="es-AR" w:bidi="es-AR"/>
        </w:rPr>
        <w:t>AFIRMATIVA.-</w:t>
      </w:r>
      <w:proofErr w:type="gramEnd"/>
    </w:p>
    <w:p w14:paraId="79B7C846" w14:textId="77777777" w:rsidR="00C90028" w:rsidRDefault="0089040C">
      <w:pPr>
        <w:pStyle w:val="Normal0"/>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w:t>
      </w:r>
      <w:proofErr w:type="gramStart"/>
      <w:r>
        <w:rPr>
          <w:lang w:val="es-AR" w:eastAsia="es-AR" w:bidi="es-AR"/>
        </w:rPr>
        <w:t>sentido.-</w:t>
      </w:r>
      <w:proofErr w:type="gramEnd"/>
    </w:p>
    <w:p w14:paraId="1A8B0B7C" w14:textId="77777777" w:rsidR="00C90028" w:rsidRDefault="0089040C">
      <w:pPr>
        <w:pStyle w:val="Normal0"/>
        <w:spacing w:line="360" w:lineRule="auto"/>
        <w:ind w:firstLine="1134"/>
        <w:jc w:val="both"/>
        <w:rPr>
          <w:lang w:val="es-AR" w:eastAsia="es-AR" w:bidi="es-AR"/>
        </w:rPr>
      </w:pPr>
      <w:r>
        <w:rPr>
          <w:lang w:val="es-AR" w:eastAsia="es-AR" w:bidi="es-AR"/>
        </w:rPr>
        <w:t>A la segunda cuestión el señor Juez Roberto Degleue dijo: de conformidad al resultado habido al tratarse la cuestión precede</w:t>
      </w:r>
      <w:r>
        <w:rPr>
          <w:lang w:val="es-AR" w:eastAsia="es-AR" w:bidi="es-AR"/>
        </w:rPr>
        <w:t xml:space="preserve">nte, estimo que el pronunciamiento que corresponde dictar es: </w:t>
      </w:r>
    </w:p>
    <w:p w14:paraId="634456CE" w14:textId="77777777" w:rsidR="00C90028" w:rsidRDefault="0089040C">
      <w:pPr>
        <w:pStyle w:val="Normal0"/>
        <w:spacing w:line="360" w:lineRule="auto"/>
        <w:ind w:firstLine="1134"/>
        <w:jc w:val="both"/>
        <w:rPr>
          <w:lang w:val="es-AR" w:eastAsia="es-AR" w:bidi="es-AR"/>
        </w:rPr>
      </w:pPr>
      <w:r>
        <w:rPr>
          <w:lang w:val="es-AR" w:eastAsia="es-AR" w:bidi="es-AR"/>
        </w:rPr>
        <w:t xml:space="preserve">Rechazar el recurso de apelación deducido por la parte actora y en consecuencia confirmar en un todo el pronunciamiento de </w:t>
      </w:r>
      <w:proofErr w:type="gramStart"/>
      <w:r>
        <w:rPr>
          <w:lang w:val="es-AR" w:eastAsia="es-AR" w:bidi="es-AR"/>
        </w:rPr>
        <w:t>grado.-</w:t>
      </w:r>
      <w:proofErr w:type="gramEnd"/>
    </w:p>
    <w:p w14:paraId="4FC316F8" w14:textId="77777777" w:rsidR="00C90028" w:rsidRDefault="0089040C">
      <w:pPr>
        <w:pStyle w:val="Normal0"/>
        <w:spacing w:line="360" w:lineRule="auto"/>
        <w:ind w:firstLine="1134"/>
        <w:jc w:val="both"/>
        <w:rPr>
          <w:lang w:val="es-AR" w:eastAsia="es-AR" w:bidi="es-AR"/>
        </w:rPr>
      </w:pPr>
      <w:r>
        <w:rPr>
          <w:lang w:val="es-AR" w:eastAsia="es-AR" w:bidi="es-AR"/>
        </w:rPr>
        <w:t>Imponer costas de Alzada a la apelante vencida (Art 68/9 CPCC</w:t>
      </w:r>
      <w:proofErr w:type="gramStart"/>
      <w:r>
        <w:rPr>
          <w:lang w:val="es-AR" w:eastAsia="es-AR" w:bidi="es-AR"/>
        </w:rPr>
        <w:t>)</w:t>
      </w:r>
      <w:r>
        <w:rPr>
          <w:lang w:val="es-AR" w:eastAsia="es-AR" w:bidi="es-AR"/>
        </w:rPr>
        <w:t>.-</w:t>
      </w:r>
      <w:proofErr w:type="gramEnd"/>
    </w:p>
    <w:p w14:paraId="0A5504C9" w14:textId="77777777" w:rsidR="00C90028" w:rsidRDefault="0089040C">
      <w:pPr>
        <w:pStyle w:val="Normal0"/>
        <w:spacing w:line="360" w:lineRule="auto"/>
        <w:ind w:firstLine="1134"/>
        <w:jc w:val="both"/>
        <w:rPr>
          <w:lang w:val="es-AR" w:eastAsia="es-AR" w:bidi="es-AR"/>
        </w:rPr>
      </w:pPr>
      <w:r>
        <w:rPr>
          <w:lang w:val="es-AR" w:eastAsia="es-AR" w:bidi="es-AR"/>
        </w:rPr>
        <w:t>Diferir la regulación de honorarios para su oportunidad (Art 31 ley 14.967</w:t>
      </w:r>
      <w:proofErr w:type="gramStart"/>
      <w:r>
        <w:rPr>
          <w:lang w:val="es-AR" w:eastAsia="es-AR" w:bidi="es-AR"/>
        </w:rPr>
        <w:t>).-</w:t>
      </w:r>
      <w:proofErr w:type="gramEnd"/>
    </w:p>
    <w:p w14:paraId="7AA53A94" w14:textId="77777777" w:rsidR="00C90028" w:rsidRDefault="0089040C">
      <w:pPr>
        <w:pStyle w:val="Normal0"/>
        <w:spacing w:line="360" w:lineRule="auto"/>
        <w:ind w:firstLine="1134"/>
        <w:jc w:val="both"/>
        <w:rPr>
          <w:lang w:val="es-AR" w:eastAsia="es-AR" w:bidi="es-AR"/>
        </w:rPr>
      </w:pPr>
      <w:r>
        <w:rPr>
          <w:b/>
          <w:lang w:val="es-AR" w:eastAsia="es-AR" w:bidi="es-AR"/>
        </w:rPr>
        <w:t xml:space="preserve">ASI LO VOTO. </w:t>
      </w:r>
    </w:p>
    <w:p w14:paraId="2FC53C5F" w14:textId="77777777" w:rsidR="00C90028" w:rsidRDefault="0089040C">
      <w:pPr>
        <w:pStyle w:val="Normal0"/>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w:t>
      </w:r>
      <w:proofErr w:type="gramStart"/>
      <w:r>
        <w:rPr>
          <w:lang w:val="es-AR" w:eastAsia="es-AR" w:bidi="es-AR"/>
        </w:rPr>
        <w:t>sentido.-</w:t>
      </w:r>
      <w:proofErr w:type="gramEnd"/>
    </w:p>
    <w:p w14:paraId="3CA9E50C" w14:textId="77777777" w:rsidR="00C90028" w:rsidRDefault="0089040C">
      <w:pPr>
        <w:pStyle w:val="Normal0"/>
        <w:spacing w:line="360" w:lineRule="auto"/>
        <w:ind w:firstLine="1134"/>
        <w:jc w:val="both"/>
        <w:rPr>
          <w:lang w:val="es-AR" w:eastAsia="es-AR" w:bidi="es-AR"/>
        </w:rPr>
      </w:pPr>
      <w:r>
        <w:rPr>
          <w:lang w:val="es-AR" w:eastAsia="es-AR" w:bidi="es-AR"/>
        </w:rPr>
        <w:t xml:space="preserve">Con lo que terminó el presente Acuerdo, dictándose la </w:t>
      </w:r>
      <w:r>
        <w:rPr>
          <w:lang w:val="es-AR" w:eastAsia="es-AR" w:bidi="es-AR"/>
        </w:rPr>
        <w:t>siguiente;</w:t>
      </w:r>
    </w:p>
    <w:p w14:paraId="5CC4E3B6" w14:textId="77777777" w:rsidR="00C90028" w:rsidRDefault="0089040C">
      <w:pPr>
        <w:pStyle w:val="Normal0"/>
        <w:spacing w:line="360" w:lineRule="auto"/>
        <w:ind w:firstLine="1134"/>
        <w:jc w:val="both"/>
        <w:rPr>
          <w:b/>
          <w:u w:val="single"/>
          <w:lang w:val="es-AR" w:eastAsia="es-AR" w:bidi="es-AR"/>
        </w:rPr>
      </w:pPr>
      <w:r>
        <w:rPr>
          <w:b/>
          <w:u w:val="single"/>
          <w:lang w:val="es-AR" w:eastAsia="es-AR" w:bidi="es-AR"/>
        </w:rPr>
        <w:t>S E N T E N C I A</w:t>
      </w:r>
      <w:r>
        <w:rPr>
          <w:u w:val="single"/>
          <w:lang w:val="es-AR" w:eastAsia="es-AR" w:bidi="es-AR"/>
        </w:rPr>
        <w:t>:</w:t>
      </w:r>
    </w:p>
    <w:p w14:paraId="08609B9B" w14:textId="77777777" w:rsidR="00C90028" w:rsidRDefault="0089040C">
      <w:pPr>
        <w:pStyle w:val="Normal0"/>
        <w:spacing w:line="360" w:lineRule="auto"/>
        <w:ind w:firstLine="1134"/>
        <w:jc w:val="both"/>
        <w:rPr>
          <w:lang w:val="es-AR" w:eastAsia="es-AR" w:bidi="es-AR"/>
        </w:rPr>
      </w:pPr>
      <w:r>
        <w:rPr>
          <w:lang w:val="es-AR" w:eastAsia="es-AR" w:bidi="es-AR"/>
        </w:rPr>
        <w:t xml:space="preserve">Rechazar el recurso de apelación deducido por la parte actora y en consecuencia confirmar en un todo el pronunciamiento de </w:t>
      </w:r>
      <w:proofErr w:type="gramStart"/>
      <w:r>
        <w:rPr>
          <w:lang w:val="es-AR" w:eastAsia="es-AR" w:bidi="es-AR"/>
        </w:rPr>
        <w:t>grado.-</w:t>
      </w:r>
      <w:proofErr w:type="gramEnd"/>
    </w:p>
    <w:p w14:paraId="7D3E3EA7" w14:textId="77777777" w:rsidR="00C90028" w:rsidRDefault="0089040C">
      <w:pPr>
        <w:pStyle w:val="Normal0"/>
        <w:spacing w:line="360" w:lineRule="auto"/>
        <w:ind w:firstLine="1134"/>
        <w:jc w:val="both"/>
        <w:rPr>
          <w:lang w:val="es-AR" w:eastAsia="es-AR" w:bidi="es-AR"/>
        </w:rPr>
      </w:pPr>
      <w:r>
        <w:rPr>
          <w:lang w:val="es-AR" w:eastAsia="es-AR" w:bidi="es-AR"/>
        </w:rPr>
        <w:t>Imponer costas de Alzada a la apelante vencida (Art 68/9 CPCC</w:t>
      </w:r>
      <w:proofErr w:type="gramStart"/>
      <w:r>
        <w:rPr>
          <w:lang w:val="es-AR" w:eastAsia="es-AR" w:bidi="es-AR"/>
        </w:rPr>
        <w:t>).-</w:t>
      </w:r>
      <w:proofErr w:type="gramEnd"/>
    </w:p>
    <w:p w14:paraId="57F69975" w14:textId="77777777" w:rsidR="00C90028" w:rsidRDefault="0089040C">
      <w:pPr>
        <w:pStyle w:val="Normal0"/>
        <w:spacing w:line="360" w:lineRule="auto"/>
        <w:ind w:firstLine="1134"/>
        <w:jc w:val="both"/>
        <w:rPr>
          <w:lang w:val="es-AR" w:eastAsia="es-AR" w:bidi="es-AR"/>
        </w:rPr>
      </w:pPr>
      <w:r>
        <w:rPr>
          <w:lang w:val="es-AR" w:eastAsia="es-AR" w:bidi="es-AR"/>
        </w:rPr>
        <w:t>Diferir la regulación de honor</w:t>
      </w:r>
      <w:r>
        <w:rPr>
          <w:lang w:val="es-AR" w:eastAsia="es-AR" w:bidi="es-AR"/>
        </w:rPr>
        <w:t>arios para su oportunidad (Art 31 ley 14.967</w:t>
      </w:r>
      <w:proofErr w:type="gramStart"/>
      <w:r>
        <w:rPr>
          <w:lang w:val="es-AR" w:eastAsia="es-AR" w:bidi="es-AR"/>
        </w:rPr>
        <w:t>).-</w:t>
      </w:r>
      <w:proofErr w:type="gramEnd"/>
    </w:p>
    <w:p w14:paraId="2A6A0309" w14:textId="77777777" w:rsidR="00C90028" w:rsidRDefault="0089040C">
      <w:pPr>
        <w:pStyle w:val="Normal0"/>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w:t>
      </w:r>
      <w:r>
        <w:rPr>
          <w:lang w:val="es-AR" w:eastAsia="es-AR" w:bidi="es-AR"/>
        </w:rPr>
        <w:lastRenderedPageBreak/>
        <w:t xml:space="preserve">electrónicos de las respectivas partes. </w:t>
      </w:r>
      <w:proofErr w:type="gramStart"/>
      <w:r>
        <w:rPr>
          <w:lang w:val="es-AR" w:eastAsia="es-AR" w:bidi="es-AR"/>
        </w:rPr>
        <w:t>Devuélvase.-</w:t>
      </w:r>
      <w:proofErr w:type="gramEnd"/>
    </w:p>
    <w:p w14:paraId="40032877" w14:textId="77777777" w:rsidR="00C90028" w:rsidRDefault="00C90028">
      <w:pPr>
        <w:pStyle w:val="Normal0"/>
        <w:rPr>
          <w:color w:val="000000"/>
          <w:lang w:val="es-AR" w:eastAsia="es-AR" w:bidi="es-AR"/>
        </w:rPr>
      </w:pPr>
    </w:p>
    <w:sectPr w:rsidR="00C90028">
      <w:pgSz w:w="11906" w:h="16832"/>
      <w:pgMar w:top="2835" w:right="850" w:bottom="1134" w:left="2835" w:header="567" w:footer="56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1134"/>
  <w:hyphenationZone w:val="425"/>
  <w:characterSpacingControl w:val="doNotCompress"/>
  <w:compat>
    <w:noExtraLineSpacing/>
    <w:compatSetting w:name="compatibilityMode" w:uri="http://schemas.microsoft.com/office/word" w:val="12"/>
    <w:compatSetting w:name="useWord2013TrackBottomHyphenation" w:uri="http://schemas.microsoft.com/office/word" w:val="1"/>
  </w:compat>
  <w:rsids>
    <w:rsidRoot w:val="00C90028"/>
    <w:rsid w:val="0089040C"/>
    <w:rsid w:val="00C90028"/>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84AFF3"/>
  <w15:docId w15:val="{3704EF9C-B70D-4075-890C-A9A3AA583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Times New Roman" w:cs="Times New Roman"/>
        <w:sz w:val="24"/>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sz w:val="22"/>
      <w:szCs w:val="22"/>
      <w:lang w:val="x-none" w:eastAsia="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qFormat/>
    <w:pPr>
      <w:widowControl w:val="0"/>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after="0" w:line="240" w:lineRule="auto"/>
    </w:pPr>
    <w:rPr>
      <w:rFonts w:eastAsia="Arial" w:hAnsi="Arial"/>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2736</Words>
  <Characters>15054</Characters>
  <Application>Microsoft Office Word</Application>
  <DocSecurity>0</DocSecurity>
  <Lines>125</Lines>
  <Paragraphs>35</Paragraphs>
  <ScaleCrop>false</ScaleCrop>
  <Company>SCBA</Company>
  <LinksUpToDate>false</LinksUpToDate>
  <CharactersWithSpaces>17755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Jonas Soljan</cp:lastModifiedBy>
  <cp:revision>2</cp:revision>
  <dcterms:created xsi:type="dcterms:W3CDTF">2026-04-09T16:32:00Z</dcterms:created>
  <dcterms:modified xsi:type="dcterms:W3CDTF">2026-04-09T16:32:00Z</dcterms:modified>
</cp:coreProperties>
</file>