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5833-25</w:t>
      </w:r>
      <w:r>
        <w:rPr>
          <w:lang w:val="es-AR" w:eastAsia="es-AR" w:bidi="es-AR"/>
        </w:rPr>
        <w:t xml:space="preserve"> caratulada </w:t>
      </w:r>
      <w:r>
        <w:rPr>
          <w:b/>
          <w:lang w:val="es-AR" w:eastAsia="es-AR" w:bidi="es-AR"/>
        </w:rPr>
        <w:t xml:space="preserve">"</w:t>
      </w:r>
      <w:r>
        <w:rPr>
          <w:b/>
          <w:color w:val="000000"/>
          <w:lang w:val="es-AR" w:eastAsia="es-AR" w:bidi="es-AR"/>
        </w:rPr>
        <w:t xml:space="preserve">SARAPE SOCIEDAD ANONIMA COMERCIAL INDUSTRIAL INMOBILIARIA FINANCI  C/ LANDGRAF CARLOS HORACIO Y OTRO/A S/ ACCION REIVINDICATORIA</w:t>
      </w:r>
      <w:r>
        <w:rPr>
          <w:b/>
          <w:lang w:val="es-AR" w:eastAsia="es-AR" w:bidi="es-AR"/>
        </w:rPr>
        <w:t xml:space="preserve">"</w:t>
      </w:r>
      <w:r>
        <w:rPr>
          <w:lang w:val="es-AR" w:eastAsia="es-AR" w:bidi="es-AR"/>
        </w:rPr>
        <w:t xml:space="preserve">, Expte. N° 67.555 </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Roberto  Degleue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 </w:t>
      </w:r>
    </w:p>
    <w:p>
      <w:pPr>
        <w:pStyle w:val="[Normal]"/>
        <w:spacing w:line="360" w:lineRule="auto"/>
        <w:ind w:firstLine="1134"/>
        <w:jc w:val="both"/>
        <w:rPr>
          <w:lang w:val="es-AR" w:eastAsia="es-AR" w:bidi="es-AR"/>
        </w:rPr>
      </w:pPr>
      <w:r>
        <w:rPr>
          <w:lang w:val="es-AR" w:eastAsia="es-AR" w:bidi="es-AR"/>
        </w:rPr>
        <w:t xml:space="preserve">El señor Juez de la anterior instancia falló en la presente haciendo lugar a la demanda de reivindicación promovida por Sarape Sociedad Anónima  Comercial Industrial Inmobiliaria Financiera Constructora y Agropecuaria, condenando en consecuencia a Carlos Horacio Landgraf a restituir a la actora, dentro de los diez días de notificada la sentencia, la posesión de la parte del inmueble detallada en la memoria descriptiva confeccionada en el informe del agrimensor Matias A. Pochat correspondiente a la Parc. 1720b (con dominio inscripto al folio 501 del año 1976). Aplicando las costas a la parte demandada que resulta vencida y difiriendo la regulación de honorarios de los letrados intervinientes, hasta que medie firme la base para ello. Asimismo, rechazando la pretensión de indemnización por daño promovida por Sarape Sociedad Anónima  Comercial Industrial Inmobiliaria Financiera Constructora y Agropecuaria, con costas a cargo de la actora, vencida. Difiriendo la regulación de honorarios de los letrados intervinientes, hasta que medie firme la respectiva liquidación de intereses y gastos.</w:t>
      </w:r>
    </w:p>
    <w:p>
      <w:pPr>
        <w:pStyle w:val="[Normal]"/>
        <w:spacing w:line="360" w:lineRule="auto"/>
        <w:ind w:firstLine="1134"/>
        <w:jc w:val="both"/>
        <w:rPr>
          <w:lang w:val="es-AR" w:eastAsia="es-AR" w:bidi="es-AR"/>
        </w:rPr>
      </w:pPr>
      <w:r>
        <w:rPr>
          <w:lang w:val="es-AR" w:eastAsia="es-AR" w:bidi="es-AR"/>
        </w:rPr>
        <w:t xml:space="preserve">En fecha 10/9/2025 apeló la parte actora, mientras que mediante el escrito de fecha 9/9/2025, lo hizo la demandada.</w:t>
      </w:r>
    </w:p>
    <w:p>
      <w:pPr>
        <w:pStyle w:val="[Normal]"/>
        <w:spacing w:line="360" w:lineRule="auto"/>
        <w:ind w:firstLine="1134"/>
        <w:jc w:val="both"/>
        <w:rPr>
          <w:lang w:val="es-AR" w:eastAsia="es-AR" w:bidi="es-AR"/>
        </w:rPr>
      </w:pPr>
      <w:r>
        <w:rPr>
          <w:lang w:val="es-AR" w:eastAsia="es-AR" w:bidi="es-AR"/>
        </w:rPr>
        <w:t xml:space="preserve">Arribados los autos a esta Alzada, expresó sus agravios la accionante en fecha 25/9/2025. Mediante la presentación de fecha 8/10/2025 hizo lo propio la parte demandada, quien formuló replanteo de prueba en esta instancia, rechazado en la resolución de este Tribunal de fecha 18/11/2025.</w:t>
      </w:r>
    </w:p>
    <w:p>
      <w:pPr>
        <w:pStyle w:val="[Normal]"/>
        <w:spacing w:line="360" w:lineRule="auto"/>
        <w:ind w:firstLine="1134"/>
        <w:jc w:val="both"/>
        <w:rPr>
          <w:lang w:val="es-AR" w:eastAsia="es-AR" w:bidi="es-AR"/>
        </w:rPr>
      </w:pPr>
      <w:r>
        <w:rPr>
          <w:lang w:val="es-AR" w:eastAsia="es-AR" w:bidi="es-AR"/>
        </w:rPr>
        <w:t xml:space="preserve">Conferidos los traslados pertinentes, fueron evacuados por ambas partes en sendos escritos de fechas 12/1/2026 y 2/2/2026. </w:t>
      </w:r>
    </w:p>
    <w:p>
      <w:pPr>
        <w:pStyle w:val="[Normal]"/>
        <w:spacing w:line="360" w:lineRule="auto"/>
        <w:ind w:firstLine="1134"/>
        <w:jc w:val="both"/>
        <w:rPr>
          <w:lang w:val="es-AR" w:eastAsia="es-AR" w:bidi="es-AR"/>
        </w:rPr>
      </w:pPr>
      <w:r>
        <w:rPr>
          <w:lang w:val="es-AR" w:eastAsia="es-AR" w:bidi="es-AR"/>
        </w:rPr>
        <w:t xml:space="preserve">En fecha 5/2/2026 se dictó el llamamiento de autos, que habiendo adquirido firmeza, deja la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En sustento de su crítica recursiva, la parte actora postula los siguientes puntos de agravio:	</w:t>
        <w:br w:type="textWrapping"/>
      </w:r>
      <w:r>
        <w:rPr>
          <w:color w:val="000000"/>
          <w:lang w:val="es-AR" w:eastAsia="es-AR" w:bidi="es-AR"/>
        </w:rPr>
        <w:t xml:space="preserve"> 	En primer lugar, se duele del rechazo del rubro daños y perjuicios, sosteniendo que la decisión resulta contradictoria con la propia sentencia, pues mientras en el capítulo reivindicatorio tuvo por acreditado que fue desposeída de 2,1 hectáreas a raíz del alambrado colocado por Landgraf, luego negó que esa misma conducta antijurídica hubiera generado un perjuicio resarcible; sobre esa base, solicita la revocación del rechazo indemnizatorio. </w:t>
      </w:r>
    </w:p>
    <w:p>
      <w:pPr>
        <w:pStyle w:val="[Normal]"/>
        <w:spacing w:line="360" w:lineRule="auto"/>
        <w:jc w:val="both"/>
        <w:rPr>
          <w:color w:val="000000"/>
          <w:lang w:val="es-AR" w:eastAsia="es-AR" w:bidi="es-AR"/>
        </w:rPr>
      </w:pPr>
      <w:r>
        <w:rPr>
          <w:color w:val="000000"/>
          <w:lang w:val="es-AR" w:eastAsia="es-AR" w:bidi="es-AR"/>
        </w:rPr>
        <w:t xml:space="preserve"> 	Finalmente, cuestiona asimismo la valoración de la prueba producida sobre la existencia del daño, afirmando que de la testimonial surge que el campo era explotado en aparcería y que Sarape percibía el 40% de la producción bruta, por lo que la privación de uso y goce de la franja reivindicada necesariamente le hizo perder los frutos correspondientes a esa superficie; por ello, pide que se admita el resarcimiento por falta de percepción de frutos. </w:t>
      </w:r>
    </w:p>
    <w:p>
      <w:pPr>
        <w:pStyle w:val="[Normal]"/>
        <w:spacing w:line="360" w:lineRule="auto"/>
        <w:jc w:val="both"/>
        <w:rPr>
          <w:color w:val="000000"/>
          <w:lang w:val="es-AR" w:eastAsia="es-AR" w:bidi="es-AR"/>
        </w:rPr>
      </w:pPr>
      <w:r>
        <w:rPr>
          <w:color w:val="000000"/>
          <w:lang w:val="es-AR" w:eastAsia="es-AR" w:bidi="es-AR"/>
        </w:rPr>
        <w:t xml:space="preserve"> 	Por su parte, la parte demandada edifica su crítica recursiva sobre la base de los aspectos:	</w:t>
        <w:br w:type="textWrapping"/>
      </w:r>
      <w:r>
        <w:rPr>
          <w:color w:val="000000"/>
          <w:lang w:val="es-AR" w:eastAsia="es-AR" w:bidi="es-AR"/>
        </w:rPr>
        <w:t xml:space="preserve"> 	La demandada se agravia de la procedencia de la acción reivindicatoria, sosteniendo que la sentencia asignó a la pericia un valor convictivo que no tenía, desde que el experto sólo habló de una </w:t>
      </w:r>
      <w:r>
        <w:rPr>
          <w:i/>
          <w:color w:val="000000"/>
          <w:lang w:val="es-AR" w:eastAsia="es-AR" w:bidi="es-AR"/>
        </w:rPr>
        <w:t xml:space="preserve">“merma compatible”</w:t>
      </w:r>
      <w:r>
        <w:rPr>
          <w:color w:val="000000"/>
          <w:lang w:val="es-AR" w:eastAsia="es-AR" w:bidi="es-AR"/>
        </w:rPr>
        <w:t xml:space="preserve"> con lo reclamado, sin determinar con precisión suficiente la divisoria entre ambos inmuebles ni despejar las dudas derivadas de la invisibilización de vértices; por ello, solicita la revocación de la sentencia en cuanto tuvo por acreditada la indebida ocupación. </w:t>
      </w:r>
    </w:p>
    <w:p>
      <w:pPr>
        <w:pStyle w:val="[Normal]"/>
        <w:spacing w:line="360" w:lineRule="auto"/>
        <w:jc w:val="both"/>
        <w:rPr>
          <w:color w:val="000000"/>
          <w:lang w:val="es-AR" w:eastAsia="es-AR" w:bidi="es-AR"/>
        </w:rPr>
      </w:pPr>
      <w:r>
        <w:rPr>
          <w:color w:val="000000"/>
          <w:lang w:val="es-AR" w:eastAsia="es-AR" w:bidi="es-AR"/>
        </w:rPr>
        <w:t xml:space="preserve"> 	También cuestiona que se hayan tenido por acreditados los requisitos de la reivindicación, afirmando que no se probó ni la pérdida de posesión por parte de la actora ni la posesión actual de la franja por el demandado, ni tampoco que éste hubiese colocado el alambrado o exteriorizado actos posesorios sobre el sector litigioso; sobre esa base, pretende el rechazo íntegro de la acción. </w:t>
      </w:r>
    </w:p>
    <w:p>
      <w:pPr>
        <w:pStyle w:val="[Normal]"/>
        <w:spacing w:line="360" w:lineRule="auto"/>
        <w:jc w:val="both"/>
        <w:rPr>
          <w:color w:val="000000"/>
          <w:lang w:val="es-AR" w:eastAsia="es-AR" w:bidi="es-AR"/>
        </w:rPr>
      </w:pPr>
      <w:r>
        <w:rPr>
          <w:color w:val="000000"/>
          <w:lang w:val="es-AR" w:eastAsia="es-AR" w:bidi="es-AR"/>
        </w:rPr>
        <w:t xml:space="preserve"> 	Asimismo critica la valoración de la prueba testimonial, alegando que la sentencia se apoyó en declaraciones aisladas, insuficientemente circunstanciadas y carentes de la fuerza necesaria para tener por demostrados los extremos fácticos decisivos del caso, por lo que postula que, descartado ese sustento probatorio, se revoque el acogimiento de la pretensión reivindicatoria.</w:t>
      </w:r>
    </w:p>
    <w:p>
      <w:pPr>
        <w:pStyle w:val="[Normal]"/>
        <w:spacing w:line="360" w:lineRule="auto"/>
        <w:jc w:val="both"/>
        <w:rPr>
          <w:color w:val="000000"/>
          <w:lang w:val="es-AR" w:eastAsia="es-AR" w:bidi="es-AR"/>
        </w:rPr>
      </w:pPr>
      <w:r>
        <w:rPr>
          <w:color w:val="000000"/>
          <w:lang w:val="es-AR" w:eastAsia="es-AR" w:bidi="es-AR"/>
        </w:rPr>
        <w:t xml:space="preserve"> 	Por último, se agravia la demandada de que la sentencia habría receptado una condena reivindicatoria insuficientemente determinada y de dificultosa -cuando no imposible- ejecución, en tanto ordena restituir la posesión de la franja litigiosa con remisión a la memoria descriptiva elaborada por el agrimensor Pochat, pese a que -según sostiene- dicho elemento no brindaría una delimitación suficientemente precisa del sector ni permitiría tener por acreditado que la posesión actual de ese espacio corresponda al demandado; con ese fundamento, solicita la revocación del fallo y, subsidiariamente, la realización de un reconocimiento judicial de los inmuebles.</w:t>
      </w:r>
    </w:p>
    <w:p>
      <w:pPr>
        <w:pStyle w:val="[Normal]"/>
        <w:spacing w:line="360" w:lineRule="auto"/>
        <w:jc w:val="both"/>
        <w:rPr>
          <w:color w:val="000000"/>
          <w:lang w:val="es-AR" w:eastAsia="es-AR" w:bidi="es-AR"/>
        </w:rPr>
      </w:pPr>
      <w:r>
        <w:rPr>
          <w:color w:val="000000"/>
          <w:lang w:val="es-AR" w:eastAsia="es-AR" w:bidi="es-AR"/>
        </w:rPr>
        <w:t xml:space="preserve"> 	Oportunamente, la actora contesta el memorial de la demandada y sostiene que el recurso debe ser declarado desierto porque no contiene una crítica concreta y razonada de la sentencia, sino una mera discrepancia con el criterio del juez de grado, sin individualizar con precisión los errores atribuidos al pronunciamiento ni refutar adecuadamente sus fundamentos. Con base en ello, pide, en primer término, la aplicación de la sanción prevista en el art. 261 del CPCC. 	</w:t>
        <w:br w:type="textWrapping"/>
      </w:r>
      <w:r>
        <w:rPr>
          <w:color w:val="000000"/>
          <w:lang w:val="es-AR" w:eastAsia="es-AR" w:bidi="es-AR"/>
        </w:rPr>
        <w:t xml:space="preserve"> 	Subsidiariamente, la actora propicia el rechazo del recurso por entender que la demandada efectúa una lectura parcializada del material probatorio. Destaca que la pericia de agrimensura no sólo informó las operaciones de medición realizadas, sino que además acompañó imágenes de GPS y satelitales que exhibirían la discordancia entre la ubicación real del alambrado y el límite correcto entre las parcelas, de modo que la crítica recursiva omitiría considerar la integralidad del dictamen y de sus anexos. 	 	Añade que la sentencia también se encuentra corroborada por la prueba testimonial, de la que surgiría que el alambrado fue costeado por Landgraf y que éste ocupa la franja reivindicada, impidiendo a Sarape el uso pleno del inmueble; remarca, a su vez, que la demandada no produjo prueba idónea para desvirtuar ese cuadro convictivo, por lo que solicita la confirmación de la sentencia en cuanto hizo lugar a la acción reivindicatoria, con costas. 	</w:t>
        <w:br w:type="textWrapping"/>
      </w:r>
      <w:r>
        <w:rPr>
          <w:color w:val="000000"/>
          <w:lang w:val="es-AR" w:eastAsia="es-AR" w:bidi="es-AR"/>
        </w:rPr>
        <w:t xml:space="preserve"> 	A su turno, la contestación de la demandada al memorial de la actora postula la confirmación del rechazo del rubro resarcitorio, sosteniendo que la apelante no logró demostrar el daño invocado. Afirma que de los contratos de aparcería acompañados no surge merma alguna en la superficie explotada, sino, antes bien, una coincidencia con la extensión consignada en los títulos, de modo que la documental no acreditaría el perjuicio económico alegado. 	</w:t>
        <w:br w:type="textWrapping"/>
      </w:r>
      <w:r>
        <w:rPr>
          <w:color w:val="000000"/>
          <w:lang w:val="es-AR" w:eastAsia="es-AR" w:bidi="es-AR"/>
        </w:rPr>
        <w:t xml:space="preserve"> 	En la misma línea, la demandada cuestiona la aptitud de la prueba testimonial para acreditar la existencia y cuantía del daño, señalando que las declaraciones de los testigos no aportan precisión suficiente sobre los eventuales perjuicios sufridos por Sarape. Agrega, además, que la actora podía acceder al sector mediante el tranquerón y realizar tareas de siembra y cosecha, por lo que, de no haberlo hecho, ello no sería imputable a Landgraf. 	</w:t>
        <w:br w:type="textWrapping"/>
      </w:r>
      <w:r>
        <w:rPr>
          <w:color w:val="000000"/>
          <w:lang w:val="es-AR" w:eastAsia="es-AR" w:bidi="es-AR"/>
        </w:rPr>
        <w:t xml:space="preserve"> 	Finalmente, sostiene que tampoco se acreditaron de modo suficiente los restantes presupuestos de la responsabilidad civil, pues no habría prueba idónea de antijuridicidad, factor de atribución, relación causal ni del quantum reclamado; a ello suma observaciones sobre la insuficiencia e inoponibilidad de parte de la documental acompañada, concluyendo que la apelación de la actora debe ser desestimada y confirmarse la sentencia en la parcela no recurrida por su parte. </w:t>
      </w:r>
    </w:p>
    <w:p>
      <w:pPr>
        <w:pStyle w:val="[Normal]"/>
        <w:spacing w:line="360" w:lineRule="auto"/>
        <w:jc w:val="both"/>
        <w:rPr>
          <w:color w:val="000000"/>
          <w:lang w:val="es-AR" w:eastAsia="es-AR" w:bidi="es-AR"/>
        </w:rPr>
      </w:pPr>
      <w:r>
        <w:rPr>
          <w:color w:val="000000"/>
          <w:lang w:val="es-AR" w:eastAsia="es-AR" w:bidi="es-AR"/>
        </w:rPr>
        <w:t xml:space="preserve"> 	Entrando a resolver, he de referir que la cuestión sometida a revisión versa sobre la procedencia de la acción reivindicatoria y condicionalmente, en torno a la indemnización de daños y perjuicios a privación de uso y goce de la franja objeto de reivindicación.</w:t>
      </w:r>
    </w:p>
    <w:p>
      <w:pPr>
        <w:pStyle w:val="[Normal]"/>
        <w:spacing w:line="360" w:lineRule="auto"/>
        <w:jc w:val="both"/>
        <w:rPr>
          <w:color w:val="000000"/>
          <w:lang w:val="es-AR" w:eastAsia="es-AR" w:bidi="es-AR"/>
        </w:rPr>
      </w:pPr>
      <w:r>
        <w:rPr>
          <w:color w:val="000000"/>
          <w:lang w:val="es-AR" w:eastAsia="es-AR" w:bidi="es-AR"/>
        </w:rPr>
        <w:t xml:space="preserve"> 	Por cuestiones de orden metodológico, abordaré en primer término los agravios de la parte demandada dada su prioridad lógica y jurídica respecto a los agravios de la actora.</w:t>
      </w:r>
    </w:p>
    <w:p>
      <w:pPr>
        <w:pStyle w:val="[Normal]"/>
        <w:spacing w:line="360" w:lineRule="auto"/>
        <w:jc w:val="both"/>
        <w:rPr>
          <w:color w:val="000000"/>
          <w:lang w:val="es-AR" w:eastAsia="es-AR" w:bidi="es-AR"/>
        </w:rPr>
      </w:pPr>
      <w:r>
        <w:rPr>
          <w:color w:val="000000"/>
          <w:lang w:val="es-AR" w:eastAsia="es-AR" w:bidi="es-AR"/>
        </w:rPr>
        <w:t xml:space="preserve"> 	Sobre la base de estos parámetros, comenzaré efectuando algunas consideraciones generales en relación a la temática en disputa.</w:t>
      </w:r>
    </w:p>
    <w:p>
      <w:pPr>
        <w:pStyle w:val="[Normal]"/>
        <w:spacing w:line="360" w:lineRule="auto"/>
        <w:jc w:val="both"/>
        <w:rPr>
          <w:color w:val="000000"/>
          <w:lang w:val="es-AR" w:eastAsia="es-AR" w:bidi="es-AR"/>
        </w:rPr>
      </w:pPr>
      <w:r>
        <w:rPr>
          <w:color w:val="000000"/>
          <w:lang w:val="es-AR" w:eastAsia="es-AR" w:bidi="es-AR"/>
        </w:rPr>
        <w:t xml:space="preserve"> 	La pretensión reivindicatoria integra el conjunto de acciones reales dirigidas a la tutela del derecho de dominio y encuentra su fundamento en la facultad del titular de perseguir la cosa que se halla en poder de otro y obtener su restitución. </w:t>
      </w:r>
    </w:p>
    <w:p>
      <w:pPr>
        <w:pStyle w:val="[Normal]"/>
        <w:spacing w:line="360" w:lineRule="auto"/>
        <w:jc w:val="both"/>
        <w:rPr>
          <w:color w:val="000000"/>
          <w:lang w:val="es-AR" w:eastAsia="es-AR" w:bidi="es-AR"/>
        </w:rPr>
      </w:pPr>
      <w:r>
        <w:rPr>
          <w:color w:val="000000"/>
          <w:lang w:val="es-AR" w:eastAsia="es-AR" w:bidi="es-AR"/>
        </w:rPr>
        <w:t xml:space="preserve"> 	En la sistemática del Código Civil y Comercial la reivindicación aparece como la vía típica de protección del derecho real frente al desapoderamiento, en cuanto la acción reivindicatoria tiene precisamente por finalidad defender la existencia del derecho real que se ejerce por la posesión ante actos que lo menoscaban o privan de ella (arts. 2248 y 2249, CCyC). Su función no es resarcitoria, sino primordialmente restitutoria: procura reintegrar al titular el poder de hecho sobre la cosa, restableciendo la plenitud del señorío jurídico que corresponde al dominio.	</w:t>
        <w:br w:type="textWrapping"/>
      </w:r>
      <w:r>
        <w:rPr>
          <w:color w:val="000000"/>
          <w:lang w:val="es-AR" w:eastAsia="es-AR" w:bidi="es-AR"/>
        </w:rPr>
        <w:t xml:space="preserve"> 	Desde esa perspectiva, la procedencia de la acción exige, en términos generales, la concurrencia de presupuestos bien definidos: la acreditación del derecho real invocado por el actor; la individualización suficiente de la cosa cuya restitución se pretende; y la demostración de que ella se encuentra poseída o tenida por el demandado en una medida incompatible con el derecho del reivindicante. Ello se desprende de que la titularidad del derecho debe existir al tiempo de la demanda y subsistir al tiempo de la sentencia (art. 2249, CCyC), de que la cosa puede ser reivindicada en su totalidad o en parte material (art. 2252, CCyC), y de que la acción debe dirigirse contra el poseedor o tenedor del objeto, aunque lo tenga a nombre de otro (art. 2255, CCyC). </w:t>
      </w:r>
    </w:p>
    <w:p>
      <w:pPr>
        <w:pStyle w:val="[Normal]"/>
        <w:spacing w:line="360" w:lineRule="auto"/>
        <w:jc w:val="both"/>
        <w:rPr>
          <w:color w:val="000000"/>
          <w:lang w:val="es-AR" w:eastAsia="es-AR" w:bidi="es-AR"/>
        </w:rPr>
      </w:pPr>
      <w:r>
        <w:rPr>
          <w:color w:val="000000"/>
          <w:lang w:val="es-AR" w:eastAsia="es-AR" w:bidi="es-AR"/>
        </w:rPr>
        <w:t xml:space="preserve"> 	No se trata por tanto de una acción orientada a obtener una mera declaración abstracta sobre la extensión del dominio, sino de una pretensión de condena a restituir. De allí que, cuando se controvierte la ubicación de linderos, la extensión de una franja o la correspondencia entre los títulos y la realidad física del inmueble, la prueba pericial adquiera singular relevancia, no como elemento automático o sacramental, sino como medio idóneo para traducir técnicamente al plano material la delimitación jurídica del derecho alegado.	</w:t>
        <w:br w:type="textWrapping"/>
      </w:r>
      <w:r>
        <w:rPr>
          <w:color w:val="000000"/>
          <w:lang w:val="es-AR" w:eastAsia="es-AR" w:bidi="es-AR"/>
        </w:rPr>
        <w:t xml:space="preserve"> 	La reivindicación además, se desenvuelve en el plano de la tutela del derecho real y no se confunde con otras acciones de distinta estructura y finalidad. No basta por ejemplo, la sola existencia de una controversia dominial o de una discordancia catastral; es necesario que la lesión al derecho del actor se exteriorice en una privación actual de la posesión o en una detentación material incompatible con su ejercicio pleno en los términos que presupone el art. 2248 del CCyC. </w:t>
      </w:r>
    </w:p>
    <w:p>
      <w:pPr>
        <w:pStyle w:val="[Normal]"/>
        <w:spacing w:line="360" w:lineRule="auto"/>
        <w:jc w:val="both"/>
        <w:rPr>
          <w:color w:val="000000"/>
          <w:lang w:val="es-AR" w:eastAsia="es-AR" w:bidi="es-AR"/>
        </w:rPr>
      </w:pPr>
      <w:r>
        <w:rPr>
          <w:color w:val="000000"/>
          <w:lang w:val="es-AR" w:eastAsia="es-AR" w:bidi="es-AR"/>
        </w:rPr>
        <w:t xml:space="preserve"> 	De igual modo la sentencia que haga lugar a la acción debe ser suficientemente determinada en cuanto al objeto de la restitución, pues la condena reivindicatoria requiere aptitud práctica de cumplimiento: la cosa, o la fracción de ella, debe aparecer individualizada con precisión bastante para tornar ejecutable el mandato judicial y evitar que la etapa de ejecución se transforme en un nuevo ámbito de indeterminación sobre aquello mismo que el fallo debió definir, exigencia que se vincula directamente con la admisión legal de la reivindicación de parte material de la cosa (art. 2252, CCyC). 	</w:t>
        <w:br w:type="textWrapping"/>
      </w:r>
      <w:r>
        <w:rPr>
          <w:color w:val="000000"/>
          <w:lang w:val="es-AR" w:eastAsia="es-AR" w:bidi="es-AR"/>
        </w:rPr>
        <w:t xml:space="preserve"> 	Ahora bien, la lesión al dominio que da sustento a la reivindicación puede, a la vez, proyectarse en el plano patrimonial y generar un daño resarcible. El Código Civil y Comercial no impide que la pretensión restitutoria se acumule o articule con un reclamo indemnizatorio conexo, en la medida en que, además de la restitución de la cosa, se invoquen y acrediten menoscabos derivados de la indebida privación del uso, goce o explotación del bien.	</w:t>
        <w:br w:type="textWrapping"/>
      </w:r>
      <w:r>
        <w:rPr>
          <w:color w:val="000000"/>
          <w:lang w:val="es-AR" w:eastAsia="es-AR" w:bidi="es-AR"/>
        </w:rPr>
        <w:t xml:space="preserve"> 	Al respecto, se ha dicho que:</w:t>
      </w:r>
      <w:r>
        <w:rPr>
          <w:i/>
          <w:color w:val="000000"/>
          <w:lang w:val="es-AR" w:eastAsia="es-AR" w:bidi="es-AR"/>
        </w:rPr>
        <w:t xml:space="preserve"> "el reivindicante no sólo tiene derecho a recuperar el bien contra el poseedor, sino también puede reclamar el resarcimiento de los daños y perjuicios engendrados por la privación del uso y goce de la cosa"</w:t>
      </w:r>
      <w:r>
        <w:rPr>
          <w:color w:val="000000"/>
          <w:lang w:val="es-AR" w:eastAsia="es-AR" w:bidi="es-AR"/>
        </w:rPr>
        <w:t xml:space="preserve"> (Cámara Primera de Apelaciones en lo Civil y Comercial de La Plata, Sala II, </w:t>
      </w:r>
      <w:r>
        <w:rPr>
          <w:i/>
          <w:color w:val="000000"/>
          <w:lang w:val="es-AR" w:eastAsia="es-AR" w:bidi="es-AR"/>
        </w:rPr>
        <w:t xml:space="preserve">"Perera, Lidia H. c/Casal, Emilio y otro s/Acción reivindicatoria"</w:t>
      </w:r>
      <w:r>
        <w:rPr>
          <w:color w:val="000000"/>
          <w:lang w:val="es-AR" w:eastAsia="es-AR" w:bidi="es-AR"/>
        </w:rPr>
        <w:t xml:space="preserve">, 9/6/1992).</w:t>
      </w:r>
    </w:p>
    <w:p>
      <w:pPr>
        <w:pStyle w:val="[Normal]"/>
        <w:spacing w:line="360" w:lineRule="auto"/>
        <w:jc w:val="both"/>
        <w:rPr>
          <w:color w:val="000000"/>
          <w:lang w:val="es-AR" w:eastAsia="es-AR" w:bidi="es-AR"/>
        </w:rPr>
      </w:pPr>
      <w:r>
        <w:rPr>
          <w:color w:val="000000"/>
          <w:lang w:val="es-AR" w:eastAsia="es-AR" w:bidi="es-AR"/>
        </w:rPr>
        <w:t xml:space="preserve"> 	En tal hipótesis, aunque ambas pretensiones se vinculen causalmente con un mismo hecho lesivo conservan autonomía conceptual: una cosa es el restablecimiento del derecho real mediante la restitución del inmueble o de la franja indebidamente ocupada; otra, la reparación de los daños que esa ocupación produjo durante el lapso en que el titular se vio privado, total o parcialmente, de las utilidades económicas o ventajas inherentes a la cosa. Ese reclamo resarcitorio encuentra sustento general en el deber de reparar el daño causado (art. 1716, CCyC) y en la noción de daño resarcible como lesión a un derecho o interés no reprobado por el ordenamiento jurídico (art. 1737, CCyC).</w:t>
      </w:r>
    </w:p>
    <w:p>
      <w:pPr>
        <w:pStyle w:val="[Normal]"/>
        <w:spacing w:line="360" w:lineRule="auto"/>
        <w:jc w:val="both"/>
        <w:rPr>
          <w:color w:val="000000"/>
          <w:lang w:val="es-AR" w:eastAsia="es-AR" w:bidi="es-AR"/>
        </w:rPr>
      </w:pPr>
      <w:r>
        <w:rPr>
          <w:color w:val="000000"/>
          <w:lang w:val="es-AR" w:eastAsia="es-AR" w:bidi="es-AR"/>
        </w:rPr>
        <w:t xml:space="preserve"> 	Esa distinción es relevante, porque la procedencia de la reivindicación no arrastra de modo mecánico la admisión del daño, ni el rechazo del resarcimiento desvirtúa por sí solo la tutela restitutoria del dominio. La primera se satisface, en esencia con la prueba del derecho y del desapoderamiento o posesión indebida; la segunda exige, además, la acreditación de los presupuestos de la responsabilidad civil: antijuridicidad, factor de atribución cuando corresponda, relación causal y daño cierto. </w:t>
      </w:r>
    </w:p>
    <w:p>
      <w:pPr>
        <w:pStyle w:val="[Normal]"/>
        <w:spacing w:line="360" w:lineRule="auto"/>
        <w:jc w:val="both"/>
        <w:rPr>
          <w:color w:val="000000"/>
          <w:lang w:val="es-AR" w:eastAsia="es-AR" w:bidi="es-AR"/>
        </w:rPr>
      </w:pPr>
      <w:r>
        <w:rPr>
          <w:color w:val="000000"/>
          <w:lang w:val="es-AR" w:eastAsia="es-AR" w:bidi="es-AR"/>
        </w:rPr>
        <w:t xml:space="preserve"> 	En ese sentido, el Código exige relación de causalidad adecuada entre el hecho y el daño (art. 1726, CCyC) y define el daño resarcible en términos que excluyen meras hipótesis conjeturales (art. 1737, CCyC). Con todo, en supuestos como los de ocupación o sustracción de una porción productiva de un inmueble, la demostración del daño puede surgir, en alguna medida, de la propia naturaleza del hecho, desde que la privación del uso y goce de un bien apto para explotación normalmente importa una pérdida patrimonial susceptible de apreciación económica. Lo decisivo, en tal caso, no es tanto la abstracción del daño, sino la prueba suficiente de su existencia concreta y de una base razonable para su cuantificación.</w:t>
      </w:r>
    </w:p>
    <w:p>
      <w:pPr>
        <w:pStyle w:val="[Normal]"/>
        <w:spacing w:line="360" w:lineRule="auto"/>
        <w:jc w:val="both"/>
        <w:rPr>
          <w:color w:val="000000"/>
          <w:lang w:val="es-AR" w:eastAsia="es-AR" w:bidi="es-AR"/>
        </w:rPr>
      </w:pPr>
      <w:r>
        <w:rPr>
          <w:color w:val="000000"/>
          <w:lang w:val="es-AR" w:eastAsia="es-AR" w:bidi="es-AR"/>
        </w:rPr>
        <w:t xml:space="preserve"> 	En ese marco, la indemnización conexa a la reivindicación puede abarcar, según las circunstancias, los frutos no percibidos, el valor del uso frustrado, las utilidades dejadas de obtener o los deterioros producidos en la cosa.  Ello encuentra respaldo en el art. 1738 del CCyC, en cuanto dispone que la indemnización comprende la pérdida o disminución del patrimonio de la víctima y el lucro cesante en el beneficio económico esperado de acuerdo con la probabilidad objetiva de su obtención. </w:t>
      </w:r>
    </w:p>
    <w:p>
      <w:pPr>
        <w:pStyle w:val="[Normal]"/>
        <w:spacing w:line="360" w:lineRule="auto"/>
        <w:jc w:val="both"/>
        <w:rPr>
          <w:color w:val="000000"/>
          <w:lang w:val="es-AR" w:eastAsia="es-AR" w:bidi="es-AR"/>
        </w:rPr>
      </w:pPr>
      <w:r>
        <w:rPr>
          <w:color w:val="000000"/>
          <w:lang w:val="es-AR" w:eastAsia="es-AR" w:bidi="es-AR"/>
        </w:rPr>
        <w:t xml:space="preserve"> 	Pero, aún cuando la ocupación indebida aparezca acreditada, no toda expectativa económica invocada por el actor se convierte automáticamente en daño indemnizable: es menester que el perjuicio exhiba un grado suficiente de certeza jurídica, aunque no sea indispensable una precisión matemática absoluta. El derecho de daños no exige una prueba imposible; sí requiere, en cambio, bases objetivas que permitan inferir razonablemente la existencia y entidad del menoscabo. De allí que, tratándose de inmuebles rurales o explotaciones productivas, puedan adquirir relevancia la prueba relativa a la modalidad de explotación, rindes, superficie efectivamente afectada, duración de la privación y proporción de beneficios que correspondían al actor.	</w:t>
        <w:br w:type="textWrapping"/>
      </w:r>
      <w:r>
        <w:rPr>
          <w:color w:val="000000"/>
          <w:lang w:val="es-AR" w:eastAsia="es-AR" w:bidi="es-AR"/>
        </w:rPr>
        <w:t xml:space="preserve"> 	En síntesis, desde la perspectiva del Código Civil y Comercial, la reivindicación y la acción de daños conexa responden a una misma matriz fáctica posible -la lesión al dominio mediante ocupación o desposesión-, pero tutelan intereses jurídicos diversos y exigen demostraciones parcialmente diferenciadas. La primera tiende a la restitución de la cosa y exige la comprobación del derecho del actor, la individualización del bien y la posesión o tenencia indebida del demandado (arts. 2248, 2249, 2252 y 2255, CCyC); la segunda se orienta a la reparación del menoscabo patrimonial derivado de esa lesión y requiere, además, la acreditación del daño y de su nexo causal (arts. 1716, 1726, 1737 y 1738, CCyC). </w:t>
      </w:r>
    </w:p>
    <w:p>
      <w:pPr>
        <w:pStyle w:val="[Normal]"/>
        <w:spacing w:line="360" w:lineRule="auto"/>
        <w:jc w:val="both"/>
        <w:rPr>
          <w:color w:val="000000"/>
          <w:lang w:val="es-AR" w:eastAsia="es-AR" w:bidi="es-AR"/>
        </w:rPr>
      </w:pPr>
      <w:r>
        <w:rPr>
          <w:color w:val="000000"/>
          <w:lang w:val="es-AR" w:eastAsia="es-AR" w:bidi="es-AR"/>
        </w:rPr>
        <w:t xml:space="preserve"> 	Ese deslinde metodológico resulta útil para ordenar el análisis del caso: primero, determinar si se hallan reunidos los extremos que habilitan la restitución de la franja litigiosa; y luego, examinar si la privación sufrida generó un perjuicio resarcible y si éste ha sido demostrado con suficiencia.</w:t>
      </w:r>
    </w:p>
    <w:p>
      <w:pPr>
        <w:pStyle w:val="[Normal]"/>
        <w:spacing w:line="360" w:lineRule="auto"/>
        <w:jc w:val="both"/>
        <w:rPr>
          <w:color w:val="000000"/>
          <w:lang w:val="es-AR" w:eastAsia="es-AR" w:bidi="es-AR"/>
        </w:rPr>
      </w:pPr>
      <w:r>
        <w:rPr>
          <w:color w:val="000000"/>
          <w:lang w:val="es-AR" w:eastAsia="es-AR" w:bidi="es-AR"/>
        </w:rPr>
        <w:t xml:space="preserve"> 	I.1. Sobre la base de este encuadramiento básico del tema, me encuentro en condiciones de abordar el primer agravio conforme al cual la sentencia asignó a la pericia un valor convictivo que no tenía, desde que el experto sólo habló de una </w:t>
      </w:r>
      <w:r>
        <w:rPr>
          <w:i/>
          <w:color w:val="000000"/>
          <w:lang w:val="es-AR" w:eastAsia="es-AR" w:bidi="es-AR"/>
        </w:rPr>
        <w:t xml:space="preserve">“merma compatible”</w:t>
      </w:r>
      <w:r>
        <w:rPr>
          <w:color w:val="000000"/>
          <w:lang w:val="es-AR" w:eastAsia="es-AR" w:bidi="es-AR"/>
        </w:rPr>
        <w:t xml:space="preserve"> con lo reclamado, sin determinar con precisión suficiente la divisoria entre ambos inmuebles ni despejar las dudas derivadas de la invisibilización de vértices.	</w:t>
        <w:br w:type="textWrapping"/>
      </w:r>
      <w:r>
        <w:rPr>
          <w:color w:val="000000"/>
          <w:lang w:val="es-AR" w:eastAsia="es-AR" w:bidi="es-AR"/>
        </w:rPr>
        <w:t xml:space="preserve"> 	Entiendo que el agravio no puede prosperar. Ello así, pues la recurrente procura desmerecer la eficacia probatoria de la pericia de agrimensura a partir de una lectura fragmentaria de uno de sus pasajes, aislando la expresión relativa a una </w:t>
      </w:r>
      <w:r>
        <w:rPr>
          <w:i/>
          <w:color w:val="000000"/>
          <w:lang w:val="es-AR" w:eastAsia="es-AR" w:bidi="es-AR"/>
        </w:rPr>
        <w:t xml:space="preserve">“merma compatible” </w:t>
      </w:r>
      <w:r>
        <w:rPr>
          <w:color w:val="000000"/>
          <w:lang w:val="es-AR" w:eastAsia="es-AR" w:bidi="es-AR"/>
        </w:rPr>
        <w:t xml:space="preserve">y la referencia a la invisibilización de vértices, como si tales menciones importaran una retractación o un reconocimiento de incertidumbre insuperable por parte del experto. 	</w:t>
        <w:br w:type="textWrapping"/>
      </w:r>
      <w:r>
        <w:rPr>
          <w:color w:val="000000"/>
          <w:lang w:val="es-AR" w:eastAsia="es-AR" w:bidi="es-AR"/>
        </w:rPr>
        <w:t xml:space="preserve"> 	Sin embargo, del examen integral del dictamen no surge tal consecuencia. Antes bien, el perito informó que las parcelas fueron medidas en el terreno mediante la determinación de hitos diversos -esquineros de alambrados-, utilizando receptores del Sistema Global de Navegación por Satélite con precisión centimétrica, y concluyó que las medidas obtenidas resultaban congruentes con el reclamo introducido en autos, tanto en el frente como en el contrafrente. Sobre esa base, el sentenciante tuvo por acreditado que el alambrado divisorio emplazado entre las parcelas 1718b y 1720b invadía esta última, conclusión que no aparece desvirtuada por la mera discrepancia ensayada por la apelante.</w:t>
      </w:r>
    </w:p>
    <w:p>
      <w:pPr>
        <w:pStyle w:val="[Normal]"/>
        <w:spacing w:line="360" w:lineRule="auto"/>
        <w:jc w:val="both"/>
        <w:rPr>
          <w:color w:val="000000"/>
          <w:lang w:val="es-AR" w:eastAsia="es-AR" w:bidi="es-AR"/>
        </w:rPr>
      </w:pPr>
      <w:r>
        <w:rPr>
          <w:color w:val="000000"/>
          <w:lang w:val="es-AR" w:eastAsia="es-AR" w:bidi="es-AR"/>
        </w:rPr>
        <w:t xml:space="preserve"> 	A ello se añade que al brindar explicaciones, el experto despejó el alcance de la observación que ahora la demandada pretende elevar en eje de su crítica. Expresó, en efecto, que aquella consideración constituía sólo una somera hipótesis acerca de una posible causa del error de apreciación atribuido a la contraparte, mas no el fundamento de sus conclusiones técnicas; y reiteró en todas sus partes la pericia producida, aclarando que existe una sola manera técnicamente válida de medir los límites parcelarios, que fue precisamente la aplicada en el caso y que, además, ratificaba lo informado por el agrimensor Pochat. </w:t>
      </w:r>
    </w:p>
    <w:p>
      <w:pPr>
        <w:pStyle w:val="[Normal]"/>
        <w:spacing w:line="360" w:lineRule="auto"/>
        <w:jc w:val="both"/>
        <w:rPr>
          <w:color w:val="000000"/>
          <w:lang w:val="es-AR" w:eastAsia="es-AR" w:bidi="es-AR"/>
        </w:rPr>
      </w:pPr>
      <w:r>
        <w:rPr>
          <w:color w:val="000000"/>
          <w:lang w:val="es-AR" w:eastAsia="es-AR" w:bidi="es-AR"/>
        </w:rPr>
        <w:t xml:space="preserve"> 	De tal modo, la referencia a la vegetación o a la invisibilización de vértices no traduce una duda científica sobre la delimitación dominial, sino una explicación accesoria sobre cómo pudo haberse generado la percepción errónea invocada por la demandada. </w:t>
      </w:r>
    </w:p>
    <w:p>
      <w:pPr>
        <w:pStyle w:val="[Normal]"/>
        <w:spacing w:line="360" w:lineRule="auto"/>
        <w:jc w:val="both"/>
        <w:rPr>
          <w:color w:val="000000"/>
          <w:lang w:val="es-AR" w:eastAsia="es-AR" w:bidi="es-AR"/>
        </w:rPr>
      </w:pPr>
      <w:r>
        <w:rPr>
          <w:color w:val="000000"/>
          <w:lang w:val="es-AR" w:eastAsia="es-AR" w:bidi="es-AR"/>
        </w:rPr>
        <w:t xml:space="preserve"> 	Por lo demás, la impugnación de la demandada no estuvo acompañada de elementos técnicos de igual o superior rigor aptos para neutralizar las conclusiones del auxiliar de justicia. Y ello reviste particular significación, porque cuando se pretende controvertir una pericia fundada en saberes especializados no basta la mera enunciación de reservas o desacuerdos, sino que se requiere una crítica científicamente sustentada. Lejos de ello, la apelante se limita a afirmar que el informe no sería concluyente, sin aportar contraprofundización técnica idónea, ni señalar concretamente qué operaciones habrían sido omitidas o qué metodología alternativa debía seguirse. En esas condiciones, no se advierte error en el razonamiento del juez de grado al conferir prevalencia al dictamen pericial. </w:t>
      </w:r>
    </w:p>
    <w:p>
      <w:pPr>
        <w:pStyle w:val="[Normal]"/>
        <w:spacing w:line="360" w:lineRule="auto"/>
        <w:jc w:val="both"/>
        <w:rPr>
          <w:color w:val="000000"/>
          <w:lang w:val="es-AR" w:eastAsia="es-AR" w:bidi="es-AR"/>
        </w:rPr>
      </w:pPr>
      <w:r>
        <w:rPr>
          <w:color w:val="000000"/>
          <w:lang w:val="es-AR" w:eastAsia="es-AR" w:bidi="es-AR"/>
        </w:rPr>
        <w:t xml:space="preserve"> 	En este punto, la jurisprudencia provincial tiene dicho que: </w:t>
      </w:r>
      <w:r>
        <w:rPr>
          <w:i/>
          <w:color w:val="000000"/>
          <w:lang w:val="es-AR" w:eastAsia="es-AR" w:bidi="es-AR"/>
        </w:rPr>
        <w:t xml:space="preserve">"Conforme ha resuelto esta Sala, las reglas de la sana crítica indican que para el desplazamiento de la pericia suficientemente fundada, es necesario oponer argumentos científicos que pongan en duda su eficacia probatoria. Las meras opiniones en contrario, sin esgrimir razones científicas fundadas, son insuficientes para provocar el apartamiento de las conclusiones vertidas por quien es experto en un área de la ciencia o técnica</w:t>
      </w:r>
      <w:r>
        <w:rPr>
          <w:color w:val="000000"/>
          <w:lang w:val="es-AR" w:eastAsia="es-AR" w:bidi="es-AR"/>
        </w:rPr>
        <w:t xml:space="preserve">". (Cámara Segunda de Apelaciones en lo Civil y Comercial de La Plata, Sala II, </w:t>
      </w:r>
      <w:r>
        <w:rPr>
          <w:i/>
          <w:color w:val="000000"/>
          <w:lang w:val="es-AR" w:eastAsia="es-AR" w:bidi="es-AR"/>
        </w:rPr>
        <w:t xml:space="preserve">"GOMEZ ALVAREZ DOMINGO C/ GARCIA ANCHAREK PATRICIA S/ DAÑOS Y PERJ. DEL./CUAS. (EXC.USO AUT. Y ESTADO)", </w:t>
      </w:r>
      <w:r>
        <w:rPr>
          <w:color w:val="000000"/>
          <w:lang w:val="es-AR" w:eastAsia="es-AR" w:bidi="es-AR"/>
        </w:rPr>
        <w:t xml:space="preserve">9/2/2021).	</w:t>
        <w:br w:type="textWrapping"/>
      </w:r>
      <w:r>
        <w:rPr>
          <w:color w:val="000000"/>
          <w:lang w:val="es-AR" w:eastAsia="es-AR" w:bidi="es-AR"/>
        </w:rPr>
        <w:t xml:space="preserve"> 	Finalmente, aun cuando lo anterior bastaría para desestimar la queja, corresponde señalar que la conclusión pericial no quedó aislada, sino que halló corroboración en otros elementos de la causa, singularmente en las declaraciones testimoniales que ubicaron el alambrado dentro del predio de Sarape. En particular, las deposiciones de los testigos Héctor Salinero y Adrián Salinero fueron contestes en que el alambrado estaba colocado dentro del campo de Sarape. En particular, el primero declaró que: </w:t>
      </w:r>
      <w:r>
        <w:rPr>
          <w:i/>
          <w:color w:val="000000"/>
          <w:lang w:val="es-AR" w:eastAsia="es-AR" w:bidi="es-AR"/>
        </w:rPr>
        <w:t xml:space="preserve">“El alambrado tendría que estar más para el lado de Landgraf”</w:t>
      </w:r>
      <w:r>
        <w:rPr>
          <w:color w:val="000000"/>
          <w:lang w:val="es-AR" w:eastAsia="es-AR" w:bidi="es-AR"/>
        </w:rPr>
        <w:t xml:space="preserve">, mientras que Adrián Salinero expresó: </w:t>
      </w:r>
      <w:r>
        <w:rPr>
          <w:i/>
          <w:color w:val="000000"/>
          <w:lang w:val="es-AR" w:eastAsia="es-AR" w:bidi="es-AR"/>
        </w:rPr>
        <w:t xml:space="preserve">“El alambre está dentro del campo de Sarape 30 o 40 metros”</w:t>
      </w:r>
      <w:r>
        <w:rPr>
          <w:color w:val="000000"/>
          <w:lang w:val="es-AR" w:eastAsia="es-AR" w:bidi="es-AR"/>
        </w:rPr>
        <w:t xml:space="preserve">. (ver archivo adjunto a presentación electrónica de fecha 23/12/24)</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imes New Roman" w:hAnsi="Times New Roman" w:eastAsia="Times New Roman" w:cs="Times New Roman"/>
          <w:lang w:val="es-AR" w:eastAsia="es-AR" w:bidi="es-AR"/>
        </w:rPr>
      </w:pPr>
      <w:r>
        <w:rPr>
          <w:lang w:val="es-AR" w:eastAsia="es-AR" w:bidi="es-AR"/>
        </w:rPr>
        <w:t xml:space="preserve"> 	En este aspecto, es importante destacar que al valorar la prueba, los jueces deben evitar merituar cada una mediante un análisis absolutamente independizado de las restantes, debiendo deducir una convicción racional del conjunto de elementos probatorios, ya que, en los hechos, difícilmente se encuentra una única prueba conclusiva y autónoma, por lo que les incumbe evitar la atomización del material probatorio practicando una valoración conjunta</w:t>
      </w:r>
      <w:r>
        <w:rPr>
          <w:b/>
          <w:i/>
          <w:lang w:val="es-AR" w:eastAsia="es-AR" w:bidi="es-AR"/>
        </w:rPr>
        <w:t xml:space="preserve"> </w:t>
      </w:r>
      <w:r>
        <w:rPr>
          <w:lang w:val="es-AR" w:eastAsia="es-AR" w:bidi="es-AR"/>
        </w:rPr>
        <w:t xml:space="preserve">y penetrante de todos los elementos de demostración (arts. 375 , 384, C. Proc.; Cámara Segunda de Apelaciones en lo Civil y Comercial de La Plata, causa 111.390; RSD 141/09; 126.662, RSD 86/20). Vale decir que se postula un examen integrador de la prueba producida, método</w:t>
      </w:r>
      <w:r>
        <w:rPr>
          <w:sz w:val="20"/>
          <w:lang w:val="es-AR" w:eastAsia="es-AR" w:bidi="es-AR"/>
        </w:rPr>
        <w:t xml:space="preserve"> </w:t>
      </w:r>
      <w:r>
        <w:rPr>
          <w:lang w:val="es-AR" w:eastAsia="es-AR" w:bidi="es-AR"/>
        </w:rPr>
        <w:t xml:space="preserve">que supera aquel parcial y aislado de alguno de ellos (“V. G. E. C/ M. C. D. S/ NULIDAD DEL ACTO", (causa nº </w:t>
      </w:r>
      <w:r>
        <w:rPr>
          <w:sz w:val="22"/>
          <w:lang w:val="es-AR" w:eastAsia="es-AR" w:bidi="es-AR"/>
        </w:rPr>
        <w:t xml:space="preserve">140931</w:t>
      </w:r>
      <w:r>
        <w:rPr>
          <w:lang w:val="es-AR" w:eastAsia="es-AR" w:bidi="es-AR"/>
        </w:rPr>
        <w:t xml:space="preserve">), 26/2/2026).</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lang w:val="es-AR" w:eastAsia="es-AR" w:bidi="es-AR"/>
        </w:rPr>
      </w:pPr>
      <w:r>
        <w:rPr>
          <w:lang w:val="es-AR" w:eastAsia="es-AR" w:bidi="es-AR"/>
        </w:rPr>
        <w:t xml:space="preserve">  	De ahí que la sentencia no haya reposado en una inferencia huérfana de sustento, sino en una valoración convergente de la prueba producida. En consecuencia, el agravio debe ser rechazado y confirmarse lo resuelto en cuanto tuvo por acreditada la indebida ocupación de la franja objeto de reivindicación. </w:t>
      </w:r>
    </w:p>
    <w:p>
      <w:pPr>
        <w:pStyle w:val="[Normal]"/>
        <w:spacing w:line="360" w:lineRule="auto"/>
        <w:jc w:val="both"/>
        <w:rPr>
          <w:color w:val="000000"/>
          <w:lang w:val="es-AR" w:eastAsia="es-AR" w:bidi="es-AR"/>
        </w:rPr>
      </w:pPr>
      <w:r>
        <w:rPr>
          <w:color w:val="000000"/>
          <w:lang w:val="es-AR" w:eastAsia="es-AR" w:bidi="es-AR"/>
        </w:rPr>
        <w:t xml:space="preserve"> 	    I.2. Transitando al agravio fundado en que el sentenciante tuvo por configurados los recaudos de procedencia de la acción reivindicatoria vinculados con la pérdida de la posesión por parte de la actora y la posesión actual del sector por el demandado cuando tales extremos no habrían sido debidamente acreditados (el apelante alega que se probó que hubiese sido Landgraf quien colocó el alambrado divisor, ni que hubiera desplegado actos posesorios sobre la franja litigiosa, ni tampoco que Sarape hubiese sido efectivamente desposeída de ella), he de anticipar mi postura adversa a la recepción de la crítica expuesta.</w:t>
      </w:r>
    </w:p>
    <w:p>
      <w:pPr>
        <w:pStyle w:val="[Normal]"/>
        <w:spacing w:line="360" w:lineRule="auto"/>
        <w:jc w:val="both"/>
        <w:rPr>
          <w:color w:val="000000"/>
          <w:lang w:val="es-AR" w:eastAsia="es-AR" w:bidi="es-AR"/>
        </w:rPr>
      </w:pPr>
      <w:r>
        <w:rPr>
          <w:color w:val="000000"/>
          <w:lang w:val="es-AR" w:eastAsia="es-AR" w:bidi="es-AR"/>
        </w:rPr>
        <w:t xml:space="preserve"> 	En primer lugar, no aparece controvertido que la actora es titular dominial de la parcela 1720b y que el demandado lo es de la fracción lindera 1718b; tampoco se discute la existencia material de un alambrado divisorio entre ambos predios, de modo que el núcleo litigioso queda ceñido, precisamente, a establecer si dicho cerramiento se encuentra correctamente emplazado o si, por el contrario, invade la propiedad de Sarape, ampliando de hecho la del accionado. Tal es, justamente, el encuadre que dio el sentenciante al litigio. </w:t>
      </w:r>
    </w:p>
    <w:p>
      <w:pPr>
        <w:pStyle w:val="[Normal]"/>
        <w:spacing w:line="360" w:lineRule="auto"/>
        <w:jc w:val="both"/>
        <w:rPr>
          <w:color w:val="000000"/>
          <w:lang w:val="es-AR" w:eastAsia="es-AR" w:bidi="es-AR"/>
        </w:rPr>
      </w:pPr>
      <w:r>
        <w:rPr>
          <w:color w:val="000000"/>
          <w:lang w:val="es-AR" w:eastAsia="es-AR" w:bidi="es-AR"/>
        </w:rPr>
        <w:t xml:space="preserve"> 	Sobre ese punto, el fallo se apoyó centralmente en la prueba pericial del Ing. González Lelong, quien concluyó que la parcela 1720b tiene una merma compatible con lo planteado en autos, producto de que se emplazó mal el alambrado divisorio, agregando que las operaciones de medición realizadas mediante receptores del Sistema Global de Navegación por Satélite arrojaban medidas congruentes con el reclamo. </w:t>
      </w:r>
    </w:p>
    <w:p>
      <w:pPr>
        <w:pStyle w:val="[Normal]"/>
        <w:spacing w:line="360" w:lineRule="auto"/>
        <w:jc w:val="both"/>
        <w:rPr>
          <w:color w:val="000000"/>
          <w:lang w:val="es-AR" w:eastAsia="es-AR" w:bidi="es-AR"/>
        </w:rPr>
      </w:pPr>
      <w:r>
        <w:rPr>
          <w:color w:val="000000"/>
          <w:lang w:val="es-AR" w:eastAsia="es-AR" w:bidi="es-AR"/>
        </w:rPr>
        <w:t xml:space="preserve"> 	A ello añadió el juez que la impugnación ensayada por la demandada no pasaba de una mera manifestación de disconformidad carente de sustento técnico suficiente. De tal modo, la existencia de una invasión material de la parcela de la actora por el corrimiento del alambrado no se tuvo por acreditada a partir de una simple inferencia dogmática, sino sobre la base de un elemento técnico específico que la recurrente no logró neutralizar eficazmente. </w:t>
      </w:r>
    </w:p>
    <w:p>
      <w:pPr>
        <w:pStyle w:val="[Normal]"/>
        <w:spacing w:line="360" w:lineRule="auto"/>
        <w:jc w:val="both"/>
        <w:rPr>
          <w:color w:val="000000"/>
          <w:lang w:val="es-AR" w:eastAsia="es-AR" w:bidi="es-AR"/>
        </w:rPr>
      </w:pPr>
      <w:r>
        <w:rPr>
          <w:color w:val="000000"/>
          <w:lang w:val="es-AR" w:eastAsia="es-AR" w:bidi="es-AR"/>
        </w:rPr>
        <w:t xml:space="preserve"> 	A ello se suma la prueba testimonial valorada en la sentencia, de la que surge que el alambrado se hallaba emplazado dentro del campo de Sarape. En efecto, el testigo Héctor Salinero y de Adrián Salinero coincidieron en tal aspecto -conforme ya lo he puntualizado en el apartado anterior-. Y si bien la apelante intenta desmerecer estos dichos señalando que los testigos no son agrimensores y que no saben quién colocó el alambrado, lo cierto es que sus declaraciones no fueron tomadas como reemplazo de la pericia, sino como elemento corroborante de la localización material del cerramiento en relación con los fundos linderos. </w:t>
      </w:r>
    </w:p>
    <w:p>
      <w:pPr>
        <w:pStyle w:val="[Normal]"/>
        <w:spacing w:line="360" w:lineRule="auto"/>
        <w:jc w:val="both"/>
        <w:rPr>
          <w:color w:val="000000"/>
          <w:lang w:val="es-AR" w:eastAsia="es-AR" w:bidi="es-AR"/>
        </w:rPr>
      </w:pPr>
      <w:r>
        <w:rPr>
          <w:color w:val="000000"/>
          <w:lang w:val="es-AR" w:eastAsia="es-AR" w:bidi="es-AR"/>
        </w:rPr>
        <w:t xml:space="preserve"> 	Tampoco mejora la suerte del recurso la objeción relativa a que no se habría probado que el demandado colocó personalmente el alambrado. Es que el a quo tuvo por acreditado ese extremo a partir de la declaración testimonial de Correa Torrent, quien relató que, al reclamar a Landgraf el pago de una deuda, éste le respondió que lo descontara </w:t>
      </w:r>
      <w:r>
        <w:rPr>
          <w:i/>
          <w:color w:val="000000"/>
          <w:lang w:val="es-AR" w:eastAsia="es-AR" w:bidi="es-AR"/>
        </w:rPr>
        <w:t xml:space="preserve">“del alambrado”</w:t>
      </w:r>
      <w:r>
        <w:rPr>
          <w:color w:val="000000"/>
          <w:lang w:val="es-AR" w:eastAsia="es-AR" w:bidi="es-AR"/>
        </w:rPr>
        <w:t xml:space="preserve">, testimonio que el juzgador reputó veraz y no desvirtuado por prueba en contrario. </w:t>
      </w:r>
    </w:p>
    <w:p>
      <w:pPr>
        <w:pStyle w:val="[Normal]"/>
        <w:spacing w:line="360" w:lineRule="auto"/>
        <w:jc w:val="both"/>
        <w:rPr>
          <w:color w:val="000000"/>
          <w:lang w:val="es-AR" w:eastAsia="es-AR" w:bidi="es-AR"/>
        </w:rPr>
      </w:pPr>
      <w:r>
        <w:rPr>
          <w:color w:val="000000"/>
          <w:lang w:val="es-AR" w:eastAsia="es-AR" w:bidi="es-AR"/>
        </w:rPr>
        <w:t xml:space="preserve"> 	Y aun si se quisiera relativizar ese dato singular, lo decisivo es que la reivindicación no depende necesariamente de identificar con certeza autoral quién colocó materialmente el cerramiento, sino de comprobar que la franja reivindicada integra el dominio del actor y se encuentra actualmente comprendida dentro del espacio poseído por la contraparte, lo que aquí el fallo tuvo por demostrado a partir del enlace concordante entre pericia y testifical. </w:t>
      </w:r>
    </w:p>
    <w:p>
      <w:pPr>
        <w:pStyle w:val="[Normal]"/>
        <w:spacing w:line="360" w:lineRule="auto"/>
        <w:jc w:val="both"/>
        <w:rPr>
          <w:color w:val="000000"/>
          <w:lang w:val="es-AR" w:eastAsia="es-AR" w:bidi="es-AR"/>
        </w:rPr>
      </w:pPr>
      <w:r>
        <w:rPr>
          <w:color w:val="000000"/>
          <w:lang w:val="es-AR" w:eastAsia="es-AR" w:bidi="es-AR"/>
        </w:rPr>
        <w:t xml:space="preserve"> 	En ese contexto, la alegación de que no existirían actos posesorios del demandado sobre la franja tampoco conmueve lo resuelto. La propia sentencia destacó que no era un hecho controvertido que Landgraf era propietario y poseedor de la parcela lindera 1718b, y que el problema residía en determinar si, por el erróneo emplazamiento del alambrado, dicha posesión se había extendido de hecho sobre una porción de la parcela 1720b. Acreditado ese desplazamiento material del cerramiento y la consiguiente incorporación fáctica de la franja al sector delimitado del lado del demandado, la posesión actual del reivindicado quedó razonablemente inferida como consecuencia del propio avance del divisor y de la correlativa exclusión de la actora del poder de hecho sobre esa superficie. </w:t>
      </w:r>
    </w:p>
    <w:p>
      <w:pPr>
        <w:pStyle w:val="[Normal]"/>
        <w:spacing w:line="360" w:lineRule="auto"/>
        <w:jc w:val="both"/>
        <w:rPr>
          <w:color w:val="000000"/>
          <w:lang w:val="es-AR" w:eastAsia="es-AR" w:bidi="es-AR"/>
        </w:rPr>
      </w:pPr>
      <w:r>
        <w:rPr>
          <w:color w:val="000000"/>
          <w:lang w:val="es-AR" w:eastAsia="es-AR" w:bidi="es-AR"/>
        </w:rPr>
        <w:t xml:space="preserve"> 	Por ello, el agravio debe ser desestimado, pues la crítica de la demandada no logra demostrar un error concreto en la valoración integral de la prueba, sino que se limita, en lo sustancial, a proponer una lectura parcial y fragmentaria de los elementos convictivos reunidos, insuficiente para desvirtuar la conclusión del sentenciante en cuanto tuvo por acreditados los recaudos fácticos de procedencia de la acción reivindicatoria. </w:t>
      </w:r>
    </w:p>
    <w:p>
      <w:pPr>
        <w:pStyle w:val="[Normal]"/>
        <w:spacing w:line="360" w:lineRule="auto"/>
        <w:jc w:val="both"/>
        <w:rPr>
          <w:color w:val="000000"/>
          <w:lang w:val="es-AR" w:eastAsia="es-AR" w:bidi="es-AR"/>
        </w:rPr>
      </w:pPr>
      <w:r>
        <w:rPr>
          <w:color w:val="000000"/>
          <w:lang w:val="es-AR" w:eastAsia="es-AR" w:bidi="es-AR"/>
        </w:rPr>
        <w:t xml:space="preserve"> 	I.3. Tampoco merece favorable acogida la crítica dirigida a la valoración de la prueba testimonial. La demandada sostiene que la sentencia habría construido su conclusión a partir de declaraciones aisladas, insuficientemente circunstanciadas y carentes de fuerza convictiva bastante, insistiendo en que los dichos de los testigos Salinero sólo traducirían una opinión personal acerca de dónde </w:t>
      </w:r>
      <w:r>
        <w:rPr>
          <w:i/>
          <w:color w:val="000000"/>
          <w:lang w:val="es-AR" w:eastAsia="es-AR" w:bidi="es-AR"/>
        </w:rPr>
        <w:t xml:space="preserve">“debería”</w:t>
      </w:r>
      <w:r>
        <w:rPr>
          <w:color w:val="000000"/>
          <w:lang w:val="es-AR" w:eastAsia="es-AR" w:bidi="es-AR"/>
        </w:rPr>
        <w:t xml:space="preserve"> hallarse el alambrado, sin respaldo técnico ni conocimiento sobre quién lo colocó, y que el testimonio de Correa Torrent sería único, indirecto y objetable por su vinculación con la actora. Sobre esa base, postula que, descartado ese sustento, caería también la procedencia de la reivindicación. </w:t>
      </w:r>
    </w:p>
    <w:p>
      <w:pPr>
        <w:pStyle w:val="[Normal]"/>
        <w:spacing w:line="360" w:lineRule="auto"/>
        <w:jc w:val="both"/>
        <w:rPr>
          <w:color w:val="000000"/>
          <w:lang w:val="es-AR" w:eastAsia="es-AR" w:bidi="es-AR"/>
        </w:rPr>
      </w:pPr>
      <w:r>
        <w:rPr>
          <w:color w:val="000000"/>
          <w:lang w:val="es-AR" w:eastAsia="es-AR" w:bidi="es-AR"/>
        </w:rPr>
        <w:t xml:space="preserve"> 	Sin embargo, el agravio no logra conmover la conclusión del fallo. Ante todo, no es exacto que la sentencia haya reposado exclusivamente sobre prueba testimonial. Muy por el contrario, el juzgador asignó carácter central al informe pericial del Ing. González Lelong, destacando que la parcela 1720b presentaba “</w:t>
      </w:r>
      <w:r>
        <w:rPr>
          <w:i/>
          <w:color w:val="000000"/>
          <w:lang w:val="es-AR" w:eastAsia="es-AR" w:bidi="es-AR"/>
        </w:rPr>
        <w:t xml:space="preserve">una merma compatible con lo planteado en autos, producto de que se emplazó mal el alambrado divisorio”</w:t>
      </w:r>
      <w:r>
        <w:rPr>
          <w:color w:val="000000"/>
          <w:lang w:val="es-AR" w:eastAsia="es-AR" w:bidi="es-AR"/>
        </w:rPr>
        <w:t xml:space="preserve">, y que las mediciones efectuadas mediante receptores del Sistema Global de Navegación por Satélite se hallaban debidamente ilustradas y no fueron eficazmente refutadas por la impugnación de la demandada, a la que reputó meramente discrepante y carente de sustento técnico equivalente. Sólo como argumentación complementaria o “a mayor abundamiento” acudió al apoyo corroborante de los testigos. De ello se sigue que la queja parte de una premisa inexacta, pues los testimonios no operaron como único andamiaje del decisorio, sino como elemento convergente con una prueba técnica previa y principal. </w:t>
      </w:r>
    </w:p>
    <w:p>
      <w:pPr>
        <w:pStyle w:val="[Normal]"/>
        <w:spacing w:line="360" w:lineRule="auto"/>
        <w:jc w:val="both"/>
        <w:rPr>
          <w:color w:val="000000"/>
          <w:lang w:val="es-AR" w:eastAsia="es-AR" w:bidi="es-AR"/>
        </w:rPr>
      </w:pPr>
      <w:r>
        <w:rPr>
          <w:color w:val="000000"/>
          <w:lang w:val="es-AR" w:eastAsia="es-AR" w:bidi="es-AR"/>
        </w:rPr>
        <w:t xml:space="preserve"> 	Además, no comparto que las declaraciones de Héctor y Adrián Salinero carezcan de toda aptitud probatoria. Si bien -y como he dicho- la sentencia no las ponderó como si sustituyeran una pericia de mensura, las mismas fueron apreciadas en función del conocimiento vivencial y directo de los testigos, en tanto vecinos de actor y demandado desde mucho antes de la existencia del alambrado cuestionado. En ese contexto, que hayan manifestado que el cerramiento</w:t>
      </w:r>
      <w:r>
        <w:rPr>
          <w:i/>
          <w:color w:val="000000"/>
          <w:lang w:val="es-AR" w:eastAsia="es-AR" w:bidi="es-AR"/>
        </w:rPr>
        <w:t xml:space="preserve"> “tendría que estar más para el lado de Landgraf”</w:t>
      </w:r>
      <w:r>
        <w:rPr>
          <w:color w:val="000000"/>
          <w:lang w:val="es-AR" w:eastAsia="es-AR" w:bidi="es-AR"/>
        </w:rPr>
        <w:t xml:space="preserve"> o que </w:t>
      </w:r>
      <w:r>
        <w:rPr>
          <w:i/>
          <w:color w:val="000000"/>
          <w:lang w:val="es-AR" w:eastAsia="es-AR" w:bidi="es-AR"/>
        </w:rPr>
        <w:t xml:space="preserve">“está dentro del campo de Sarape 30 o 40 metros”</w:t>
      </w:r>
      <w:r>
        <w:rPr>
          <w:color w:val="000000"/>
          <w:lang w:val="es-AR" w:eastAsia="es-AR" w:bidi="es-AR"/>
        </w:rPr>
        <w:t xml:space="preserve"> no configura una opinión dogmática desprovista de base, sino una percepción empírica acerca del emplazamiento del divisor en relación con el uso histórico de los predios, percepción que el juez razonablemente valoró como concordante con el resultado pericial. La objeción de que no son agrimensores pierde así buena parte de su eficacia, porque sus dichos no fueron utilizados para fijar técnicamente un límite parcelario, sino para corroborar, desde la experiencia del terreno, que el alambrado no se correspondía con la divisoria real. </w:t>
      </w:r>
    </w:p>
    <w:p>
      <w:pPr>
        <w:pStyle w:val="[Normal]"/>
        <w:spacing w:line="360" w:lineRule="auto"/>
        <w:jc w:val="both"/>
        <w:rPr>
          <w:color w:val="000000"/>
          <w:lang w:val="es-AR" w:eastAsia="es-AR" w:bidi="es-AR"/>
        </w:rPr>
      </w:pPr>
      <w:r>
        <w:rPr>
          <w:color w:val="000000"/>
          <w:lang w:val="es-AR" w:eastAsia="es-AR" w:bidi="es-AR"/>
        </w:rPr>
        <w:t xml:space="preserve"> 	En cuanto al testimonio de Correa Torrent, es cierto que el propio sentenciante reconoció que se trató del único dicho relativo a la colocación del alambrado. Pero no por ello su valoración deviene arbitraria. El fallo explicitó las razones de su convencimiento: estimó veraz la declaración, destacó que la idoneidad del testigo no fue cuestionada y ponderó, además, la ausencia de una actividad probatoria eficaz de la demandada para demostrar una versión alternativa convincente sobre las razones o autoría de la colocación del cerramiento. Así, lejos de incurrir en una aceptación irreflexiva de un testimonio aislado, el juez exteriorizó por qué le atribuía mérito convictivo dentro del conjunto probatorio reunido. Que la demandada discrepe con esa apreciación no basta, por sí solo, para descalificarla. </w:t>
      </w:r>
    </w:p>
    <w:p>
      <w:pPr>
        <w:pStyle w:val="[Normal]"/>
        <w:spacing w:line="360" w:lineRule="auto"/>
        <w:jc w:val="both"/>
        <w:rPr>
          <w:color w:val="000000"/>
          <w:lang w:val="es-AR" w:eastAsia="es-AR" w:bidi="es-AR"/>
        </w:rPr>
      </w:pPr>
      <w:r>
        <w:rPr>
          <w:lang w:val="es-AR" w:eastAsia="es-AR" w:bidi="es-AR"/>
        </w:rPr>
        <w:t xml:space="preserve"> 	Recuérdese que al evaluar este medio de prueba tendiente a acreditar un hecho ha de tenerse en cuenta que la credibilidad que deriva de ella asienta especialmente en la verosimilitud de los dichos, latitud y seguridad del conocimiento que se manifiesta, razones de la convicción del que declara y confianza que inspira, pues la verdad ha de examinarse ponderando todas las circunstancias que, analizadas con criterio objetivo valoran los dichos de los declarantes. Y tal apreciación debe ser efectuada de acuerdo con las reglas de la sana crítica, atendiendo a las circunstancias o motivos que corroboren o disminuyan la fuerza de las declaraciones, y aquellas que no son sino la del correcto entendimiento humano, extraídas con recto criterio de la lógica y basadas en la ciencia, experiencia y observación de los demás elementos agregados a la causa (arts. 384, 456, C. Proc..; cfr. Arazi "La Prueba en el Proceso Civil" pág. 374 y 376).	</w:t>
        <w:br w:type="textWrapping"/>
      </w:r>
      <w:r>
        <w:rPr>
          <w:lang w:val="es-AR" w:eastAsia="es-AR" w:bidi="es-AR"/>
        </w:rPr>
        <w:t xml:space="preserve"> 	</w:t>
      </w:r>
      <w:r>
        <w:rPr>
          <w:color w:val="000000"/>
          <w:lang w:val="es-AR" w:eastAsia="es-AR" w:bidi="es-AR"/>
        </w:rPr>
        <w:t xml:space="preserve">Pero aun prescindiendo de la cuestión relativa a quién colocó materialmente el alambrado y la eficacia probatoria del testimonio que da cuenta de ello, la suerte de la acción no variaría. Es que, como ya se señaló, el punto decisivo del litigio radica en determinar si la franja reivindicada integra el dominio de la actora y se encuentra comprendida del lado del cerramiento que delimita el predio poseído por el demandado. Y sobre ello convergen el informe pericial y las declaraciones de los testigos Salinero, sin que la apelante aporte una crítica técnica idónea que neutralice ese cuadro convictivo. Frente a ello, la objeción recursiva insiste en fraccionar los testimonios y en destacar sus eventuales debilidades individuales, pero omite hacerse cargo de su apreciación conjunta y de su concordancia con la prueba de mayor jerarquía que informó el resultado del pleito. </w:t>
      </w:r>
    </w:p>
    <w:p>
      <w:pPr>
        <w:pStyle w:val="[Normal]"/>
        <w:spacing w:line="360" w:lineRule="auto"/>
        <w:jc w:val="both"/>
        <w:rPr>
          <w:color w:val="000000"/>
          <w:lang w:val="es-AR" w:eastAsia="es-AR" w:bidi="es-AR"/>
        </w:rPr>
      </w:pPr>
      <w:r>
        <w:rPr>
          <w:color w:val="000000"/>
          <w:lang w:val="es-AR" w:eastAsia="es-AR" w:bidi="es-AR"/>
        </w:rPr>
        <w:t xml:space="preserve"> 	No altera esta conclusión la invocación de pasajes testimoniales según los cuales del lado cercano a Landgraf sólo habría pastizales, ni la referencia al tranquerón utilizado por Pereyra o Rubén Salinero para ingresar maquinarias. Tales circunstancias, a lo sumo, podrían proyectarse sobre la intensidad o modalidad del aprovechamiento material de la franja, pero no neutralizan la premisa central establecida en la sentencia: que el alambrado divisor se encontraba corrido dentro del fundo de Sarape y que, por esa vía, la parte material reivindicada había quedado incorporada al ámbito delimitado por el cerramiento del lado del demandado. En otros términos, que no hubiera sembradíos, animales o construcciones en esa franja no desvirtúa, por sí, la indebida incorporación física del sector al predio lindero. </w:t>
      </w:r>
    </w:p>
    <w:p>
      <w:pPr>
        <w:pStyle w:val="[Normal]"/>
        <w:spacing w:line="360" w:lineRule="auto"/>
        <w:jc w:val="both"/>
        <w:rPr>
          <w:color w:val="000000"/>
          <w:lang w:val="es-AR" w:eastAsia="es-AR" w:bidi="es-AR"/>
        </w:rPr>
      </w:pPr>
      <w:r>
        <w:rPr>
          <w:color w:val="000000"/>
          <w:lang w:val="es-AR" w:eastAsia="es-AR" w:bidi="es-AR"/>
        </w:rPr>
        <w:t xml:space="preserve"> 	En definitiva, la crítica no demuestra que la valoración testimonial haya sido arbitraria o fragmentaria, sino que exterioriza una mera disconformidad con la ponderación efectuada en la instancia de origen. La sentencia no se asentó en declaraciones aisladas erigidas en prueba exclusiva, sino en la conjunción entre pericia técnica y testimonios concordantes; y dentro de ese marco, la apelante no exhibe razones suficientes para concluir que el juez de grado hubiera incurrido en una apreciación irrazonable de la prueba. Por ello, el agravio debe ser desestimado. </w:t>
      </w:r>
    </w:p>
    <w:p>
      <w:pPr>
        <w:pStyle w:val="[Normal]"/>
        <w:spacing w:line="360" w:lineRule="auto"/>
        <w:jc w:val="both"/>
        <w:rPr>
          <w:color w:val="000000"/>
          <w:lang w:val="es-AR" w:eastAsia="es-AR" w:bidi="es-AR"/>
        </w:rPr>
      </w:pPr>
      <w:r>
        <w:rPr>
          <w:color w:val="000000"/>
          <w:lang w:val="es-AR" w:eastAsia="es-AR" w:bidi="es-AR"/>
        </w:rPr>
        <w:t xml:space="preserve"> 	I.4. Finalmente, y ya ingresando en el tratamiento del último agravio vertido por la demandada, considero que no es exacto que la condena carezca de determinación suficiente. 	</w:t>
        <w:br w:type="textWrapping"/>
      </w:r>
      <w:r>
        <w:rPr>
          <w:color w:val="000000"/>
          <w:lang w:val="es-AR" w:eastAsia="es-AR" w:bidi="es-AR"/>
        </w:rPr>
        <w:t xml:space="preserve"> 	La parte resolutiva no se limita a una orden genérica de restitución, sino que individualiza expresamente que ella recae sobre </w:t>
      </w:r>
      <w:r>
        <w:rPr>
          <w:i/>
          <w:color w:val="000000"/>
          <w:lang w:val="es-AR" w:eastAsia="es-AR" w:bidi="es-AR"/>
        </w:rPr>
        <w:t xml:space="preserve">“la parte del inmueble detallada en la memoria descriptiva confeccionada en el informe del agrimensor Matías A. Pochat (adjunta a la demanda), correspondiente a la Parc. 1720b”</w:t>
      </w:r>
      <w:r>
        <w:rPr>
          <w:color w:val="000000"/>
          <w:lang w:val="es-AR" w:eastAsia="es-AR" w:bidi="es-AR"/>
        </w:rPr>
        <w:t xml:space="preserve">. 	</w:t>
        <w:br w:type="textWrapping"/>
      </w:r>
      <w:r>
        <w:rPr>
          <w:color w:val="000000"/>
          <w:lang w:val="es-AR" w:eastAsia="es-AR" w:bidi="es-AR"/>
        </w:rPr>
        <w:t xml:space="preserve"> 	A ello se suma que del propio informe técnico incorporado por la actora -y resaltado luego al contestar agravios- surge la concreta delimitación de la franja mediante referencia a una diferencia con la línea de título de 36,75 metros en el frente y 40,18 metros en el fondo, con croquis anexo. No se está, pues, ante un pronunciamiento que deje librado a una futura reconstrucción incierta cuál es el objeto de la restitución, sino frente a una condena remitida a una pieza técnica incorporada al proceso, identificada en la demanda y susceptible de ser utilizada como pauta de ejecución.  </w:t>
      </w:r>
    </w:p>
    <w:p>
      <w:pPr>
        <w:pStyle w:val="[Normal]"/>
        <w:spacing w:line="360" w:lineRule="auto"/>
        <w:jc w:val="both"/>
        <w:rPr>
          <w:color w:val="000000"/>
          <w:lang w:val="es-AR" w:eastAsia="es-AR" w:bidi="es-AR"/>
        </w:rPr>
      </w:pPr>
      <w:r>
        <w:rPr>
          <w:color w:val="000000"/>
          <w:lang w:val="es-AR" w:eastAsia="es-AR" w:bidi="es-AR"/>
        </w:rPr>
        <w:t xml:space="preserve"> 	Tampoco conmueve lo resuelto la afirmación de que no estaría acreditado que la posesión actual de la franja corresponda al demandado. Como ya se examinó al tratar agravios anteriores, la sentencia tuvo por probado que Landgraf es propietario y poseedor de la parcela lindera 1718b, que existe un alambrado divisorio entre ambos predios y que ese alambrado se encuentra corrido sobre la parcela 1720b, ampliando de hecho el ámbito material comprendido del lado del demandado. 	</w:t>
        <w:br w:type="textWrapping"/>
      </w:r>
      <w:r>
        <w:rPr>
          <w:color w:val="000000"/>
          <w:lang w:val="es-AR" w:eastAsia="es-AR" w:bidi="es-AR"/>
        </w:rPr>
        <w:t xml:space="preserve"> 	En tales condiciones, la conclusión relativa a que la porción reivindicada se encuentra incorporada al espacio poseído por éste no aparece como una inferencia arbitraria, sino como derivación lógica del cuadro probatorio ponderado por el sentenciante. Por ello, la objeción de imposibilidad de cumplimiento reitera, en rigor, la crítica ya ensayada contra la acreditación de la posesión actual, sin aportar un argumento autónomo que demuestre una real ineptitud ejecutoria del pronunciamiento. </w:t>
        <w:br w:type="textWrapping"/>
      </w:r>
      <w:r>
        <w:rPr>
          <w:color w:val="000000"/>
          <w:lang w:val="es-AR" w:eastAsia="es-AR" w:bidi="es-AR"/>
        </w:rPr>
        <w:t xml:space="preserve"> 	En ese contexto, el pedido subsidiario de reconocimiento judicial tampoco resulta atendible. La medida aparece solicitada como vía para suplir una insuficiencia probatoria que no se verifica, desde que la delimitación del sector litigioso y el corrimiento del alambrado han sido abordados mediante prueba técnica específica, complementada con prueba testimonial concordante. El reconocimiento judicial no constituye un remedio destinado a reabrir la actividad probatoria cuando el litigio ya cuenta con elementos de convicción bastantes, ni puede ser utilizado en la alzada para sustituir una crítica idónea y concreta de la valoración efectuada en la instancia de origen. </w:t>
      </w:r>
    </w:p>
    <w:p>
      <w:pPr>
        <w:pStyle w:val="[Normal]"/>
        <w:spacing w:line="360" w:lineRule="auto"/>
        <w:jc w:val="both"/>
        <w:rPr>
          <w:color w:val="000000"/>
          <w:lang w:val="es-AR" w:eastAsia="es-AR" w:bidi="es-AR"/>
        </w:rPr>
      </w:pPr>
      <w:r>
        <w:rPr>
          <w:color w:val="000000"/>
          <w:lang w:val="es-AR" w:eastAsia="es-AR" w:bidi="es-AR"/>
        </w:rPr>
        <w:t xml:space="preserve"> 	En definitiva, la queja no demuestra que la condena reivindicatoria sea indeterminada o de imposible ejecución, sino que exterioriza una discrepancia con la técnica empleada por el juez para individualizar el objeto de la restitución. Desde que la franja litigiosa fue identificada por remisión a una memoria descriptiva y croquis incorporados a la causa, y desde que esa delimitación guarda coherencia con la pericia de oficio que tuvo por acreditado el erróneo emplazamiento del alambrado, no se advierte motivo bastante para revocar el fallo ni para disponer la medida subsidiaria pretendida. Corresponde, por ello, desestimar el agravio. </w:t>
      </w:r>
    </w:p>
    <w:p>
      <w:pPr>
        <w:pStyle w:val="[Normal]"/>
        <w:spacing w:line="360" w:lineRule="auto"/>
        <w:jc w:val="both"/>
        <w:rPr>
          <w:color w:val="000000"/>
          <w:lang w:val="es-AR" w:eastAsia="es-AR" w:bidi="es-AR"/>
        </w:rPr>
      </w:pPr>
      <w:r>
        <w:rPr>
          <w:color w:val="000000"/>
          <w:lang w:val="es-AR" w:eastAsia="es-AR" w:bidi="es-AR"/>
        </w:rPr>
        <w:t xml:space="preserve">  	II.1. Corresponde ahora abordar los agravios expresados por la parte actora.	</w:t>
        <w:br w:type="textWrapping"/>
      </w:r>
      <w:r>
        <w:rPr>
          <w:color w:val="000000"/>
          <w:lang w:val="es-AR" w:eastAsia="es-AR" w:bidi="es-AR"/>
        </w:rPr>
        <w:t xml:space="preserve"> 	En este sentido, he de anticipar el destino adverso del agravio referido al rechazo del rubro daños y perjuicios. 	</w:t>
        <w:br w:type="textWrapping"/>
      </w:r>
      <w:r>
        <w:rPr>
          <w:color w:val="000000"/>
          <w:lang w:val="es-AR" w:eastAsia="es-AR" w:bidi="es-AR"/>
        </w:rPr>
        <w:t xml:space="preserve"> 	Recapitulando, la actora sostiene que la sentencia incurre en contradicción, pues mientras en el capítulo dedicado a la reivindicación tuvo por acreditado que fue privada de la posesión de 2,1 hectáreas de su parcela como consecuencia del erróneo emplazamiento del alambrado colocado por Landgraf, luego negó que esa misma conducta hubiera generado un perjuicio resarcible. Sobre esa base, postula la revocación del rechazo indemnizatorio. </w:t>
      </w:r>
    </w:p>
    <w:p>
      <w:pPr>
        <w:pStyle w:val="[Normal]"/>
        <w:spacing w:line="360" w:lineRule="auto"/>
        <w:jc w:val="both"/>
        <w:rPr>
          <w:color w:val="000000"/>
          <w:lang w:val="es-AR" w:eastAsia="es-AR" w:bidi="es-AR"/>
        </w:rPr>
      </w:pPr>
      <w:r>
        <w:rPr>
          <w:color w:val="000000"/>
          <w:lang w:val="es-AR" w:eastAsia="es-AR" w:bidi="es-AR"/>
        </w:rPr>
        <w:t xml:space="preserve"> 	Entiendo, sin embargo, que la queja no logra demostrar la inconsistencia lógica que denuncia. Que la sentencia haya tenido por acreditado el desplazamiento del alambrado y, con ello, la procedencia de la acción reivindicatoria, no imponía necesariamente admitir sin más el reclamo indemnizatorio. Son, en efecto, planos conceptualmente diversos: una cosa es la tutela restitutoria del derecho real, satisfecha con la comprobación de la titularidad, la individualización del sector y su indebida ocupación; otra, la reparación del daño patrimonial derivado de esa situación, que exige además prueba suficiente de su existencia y magnitud. El propio juez de grado explicitó esa distinción al encuadrar el reclamo actoral como acumulación de la acción reivindicatoria con una acción de daños en los términos del art. 2250 del Código Civil y Comercial, diferenciándola de la restitución de frutos eventualmente percibidos por el poseedor. </w:t>
      </w:r>
    </w:p>
    <w:p>
      <w:pPr>
        <w:pStyle w:val="[Normal]"/>
        <w:spacing w:line="360" w:lineRule="auto"/>
        <w:jc w:val="both"/>
        <w:rPr>
          <w:color w:val="000000"/>
          <w:lang w:val="es-AR" w:eastAsia="es-AR" w:bidi="es-AR"/>
        </w:rPr>
      </w:pPr>
      <w:r>
        <w:rPr>
          <w:color w:val="000000"/>
          <w:lang w:val="es-AR" w:eastAsia="es-AR" w:bidi="es-AR"/>
        </w:rPr>
        <w:t xml:space="preserve"> 	En esa línea, el sentenciante no rechazó el daño por negar la antijuridicidad de la conducta del demandado, ni por desconocer la desposesión parcial sufrida por la actora, sino porque consideró no acreditado el menoscabo patrimonial invocado.	</w:t>
        <w:br w:type="textWrapping"/>
      </w:r>
      <w:r>
        <w:rPr>
          <w:color w:val="000000"/>
          <w:lang w:val="es-AR" w:eastAsia="es-AR" w:bidi="es-AR"/>
        </w:rPr>
        <w:t xml:space="preserve"> 	Concretamente señaló que el reclamo se había sustentado en la afirmación de que la franja ocupada no pudo sembrarse ni cosecharse, extremo que juzgó no probado; y ponderó, a tal efecto, que los contratos de aparcería acompañados por la propia actora (adjuntos en el escrito electrónico de demanda de fecha 28/6/2024) consignaban una superficie de 10,6 hectáreas —coincidente con la del título, según la escritura pública también acompañada al demandar (adjunta en el escrito electrónico de demanda de fecha 28/6/2024)—, mientras que la factura aportada por la campaña 2023/2024 (adjunta en el escrito electrónico de demanda de fecha 28/6/2024) remitía al contrato celebrado y no aclaraba satisfactoriamente la diferencia entre la superficie nominalmente contratada y la efectivamente explotada. De allí concluyó que la prueba producida no generaba convicción bastante ni sobre la efectiva existencia del daño ni sobre su extensión.</w:t>
      </w:r>
    </w:p>
    <w:p>
      <w:pPr>
        <w:pStyle w:val="[Normal]"/>
        <w:spacing w:line="360" w:lineRule="auto"/>
        <w:jc w:val="both"/>
        <w:rPr>
          <w:color w:val="000000"/>
          <w:lang w:val="es-AR" w:eastAsia="es-AR" w:bidi="es-AR"/>
        </w:rPr>
      </w:pPr>
      <w:r>
        <w:rPr>
          <w:color w:val="000000"/>
          <w:lang w:val="es-AR" w:eastAsia="es-AR" w:bidi="es-AR"/>
        </w:rPr>
        <w:t xml:space="preserve"> 	La crítica recursiva no desarticula de manera eficaz ese razonamiento. Es cierto que la actora insiste en que, acreditada la aparcería al 40% de la producción bruta y probada la privación de 2,1 hectáreas, debía inferirse sin más la pérdida de los frutos correspondientes a esa franja. En apoyo de ello invoca la declaración de Andrés Pereyra, quien afirmó trabajar una fracción del campo de Sarape, refirió la existencia del alambrado desde la campaña 2015/2016 y señaló que el contrato de aparcería se pagaba con el 40% de la producción bruta. Asimismo, aduce que del otro lado del alambrado “solo hay pasto” y que, por ende, la superficie ocupada no fue sembrada, pudiendo cuantificarse el daño por una simple regla de tres. </w:t>
      </w:r>
    </w:p>
    <w:p>
      <w:pPr>
        <w:pStyle w:val="[Normal]"/>
        <w:spacing w:line="360" w:lineRule="auto"/>
        <w:jc w:val="both"/>
        <w:rPr>
          <w:color w:val="000000"/>
          <w:lang w:val="es-AR" w:eastAsia="es-AR" w:bidi="es-AR"/>
        </w:rPr>
      </w:pPr>
      <w:r>
        <w:rPr>
          <w:color w:val="000000"/>
          <w:lang w:val="es-AR" w:eastAsia="es-AR" w:bidi="es-AR"/>
        </w:rPr>
        <w:t xml:space="preserve"> 	Sin embargo, ese desarrollo no alcanza, a mi juicio, para revertir la conclusión del fallo. Ello así, porque la apelante no logra neutralizar la principal objeción formulada por el juez de grado: la discordancia entre la hipótesis fáctica del daño y los elementos documentales acompañados por la propia actora. 	</w:t>
        <w:br w:type="textWrapping"/>
      </w:r>
      <w:r>
        <w:rPr>
          <w:color w:val="000000"/>
          <w:lang w:val="es-AR" w:eastAsia="es-AR" w:bidi="es-AR"/>
        </w:rPr>
        <w:t xml:space="preserve"> 	En efecto, si los contratos de aparcería fueron celebrados sobre la superficie total del inmueble y, aún con conocimiento de la merma denunciada, continuaron siendo suscriptos en esos términos, incumbía a la recurrente aportar una demostración más precisa acerca de cuál fue, en concreto, la superficie efectivamente explotada, qué porción quedó excluida de esa explotación, qué rindes correspondían específicamente a la franja ocupada y de qué modo ello se tradujo en una pérdida patrimonial cierta. La propia sentencia remarcó que ni siquiera se interrogó al aparcero sobre la superficie efectivamente trabajada o sobre la razón de la diferencia entre lo consignado en los contratos y lo reflejado en la factura, circunstancia que razonablemente debilitó la fuerza demostrativa del reclamo. </w:t>
      </w:r>
    </w:p>
    <w:p>
      <w:pPr>
        <w:pStyle w:val="[Normal]"/>
        <w:spacing w:line="360" w:lineRule="auto"/>
        <w:jc w:val="both"/>
        <w:rPr>
          <w:color w:val="000000"/>
          <w:lang w:val="es-AR" w:eastAsia="es-AR" w:bidi="es-AR"/>
        </w:rPr>
      </w:pPr>
      <w:r>
        <w:rPr>
          <w:color w:val="000000"/>
          <w:lang w:val="es-AR" w:eastAsia="es-AR" w:bidi="es-AR"/>
        </w:rPr>
        <w:t xml:space="preserve"> 	No cambia esta conclusión la invocación del art. 1717 del Código Civil y Comercial ni de las reglas sobre causalidad adecuada. Aún admitiendo que la conducta atribuida al demandado revista carácter antijurídico y que la privación del uso de una franja productiva sea, en abstracto, apta para generar consecuencias patrimoniales, ello no releva a la parte actora de acreditar, conforme a la carga impuesta por el art. 375 del CPCC y a la exigencia de certeza del daño, que el perjuicio efectivamente se produjo en la forma y medida invocadas. El punto no es, pues, la mera posibilidad teórica del daño, sino la insuficiencia de la prueba rendida para tenerlo por demostrado en los términos concretos en que fue reclamado. </w:t>
      </w:r>
    </w:p>
    <w:p>
      <w:pPr>
        <w:pStyle w:val="[Normal]"/>
        <w:spacing w:line="360" w:lineRule="auto"/>
        <w:jc w:val="both"/>
        <w:rPr>
          <w:lang w:val="es-AR" w:eastAsia="es-AR" w:bidi="es-AR"/>
        </w:rPr>
      </w:pPr>
      <w:r>
        <w:rPr>
          <w:color w:val="000000"/>
          <w:lang w:val="es-AR" w:eastAsia="es-AR" w:bidi="es-AR"/>
        </w:rPr>
        <w:t xml:space="preserve"> 	</w:t>
      </w:r>
      <w:r>
        <w:rPr>
          <w:lang w:val="es-AR" w:eastAsia="es-AR" w:bidi="es-AR"/>
        </w:rPr>
        <w:t xml:space="preserve">Es que el daño resarcible como concepto indemnizatorio no se identifica con la mera lesión a un derecho o a un interés, sino que es la consecuencia perjudicial o menoscabo derivado de ella. Entre la lesión y la consecuencia dañosa existe una relación de causa a efecto. Y el daño resarcible es esto último.	</w:t>
        <w:br w:type="textWrapping"/>
      </w:r>
      <w:r>
        <w:rPr>
          <w:lang w:val="es-AR" w:eastAsia="es-AR" w:bidi="es-AR"/>
        </w:rPr>
        <w:t xml:space="preserve"> 	Así se lo resuelto este Tribunal en la causa n° 4368 al señalar que: </w:t>
      </w:r>
      <w:r>
        <w:rPr>
          <w:i/>
          <w:lang w:val="es-AR" w:eastAsia="es-AR" w:bidi="es-AR"/>
        </w:rPr>
        <w:t xml:space="preserve">"el daño resarcible patrimonial no es la lesión en sí misma considerada, sino el detrimento de valores económicos que se produce como consecuencia de tal lesión. De esta manera, estaremos ante un daño patrimonial cuando se menoscabe el patrimonio de una persona, sea en sus elementos actuales, sea en sus posibilidades futuras y previsibles"</w:t>
      </w:r>
      <w:r>
        <w:rPr>
          <w:lang w:val="es-AR" w:eastAsia="es-AR" w:bidi="es-AR"/>
        </w:rPr>
        <w:t xml:space="preserve">. </w:t>
      </w:r>
    </w:p>
    <w:p>
      <w:pPr>
        <w:pStyle w:val="[Normal]"/>
        <w:spacing w:line="360" w:lineRule="auto"/>
        <w:jc w:val="both"/>
        <w:rPr>
          <w:lang w:val="es-AR" w:eastAsia="es-AR" w:bidi="es-AR"/>
        </w:rPr>
      </w:pPr>
      <w:r>
        <w:rPr>
          <w:lang w:val="es-AR" w:eastAsia="es-AR" w:bidi="es-AR"/>
        </w:rPr>
        <w:t xml:space="preserve"> 	Es que si el daño resarcible quedase reducido a la sola lesión de un bien jurídico o interés vinculado a éste, no sería posible comprender cabalmente qué y cómo se indemniza. Únicamente cuando el daño consiste en el resultado de la lesión se tiene la materia objeto de la reparación que al mismo tiempo permitirá mensurarlo. De lo contrario, el daño, como eje de la obligación indemnizatoria, se convertiría en una noción abstracta, genérica y carente de pautas objetivas para establecer la medida de la reparación ( </w:t>
      </w:r>
      <w:r>
        <w:rPr>
          <w:color w:val="000000"/>
          <w:lang w:val="es-AR" w:eastAsia="es-AR" w:bidi="es-AR"/>
        </w:rPr>
        <w:t xml:space="preserve">Cf. PIZARRO, Ramón Daniel  y VALLESPINOS, Carlos Gustavo, Tomo 2, op. cit., pag. 643).	</w:t>
        <w:br w:type="textWrapping"/>
      </w:r>
      <w:r>
        <w:rPr>
          <w:lang w:val="es-AR" w:eastAsia="es-AR" w:bidi="es-AR"/>
        </w:rPr>
        <w:t xml:space="preserve">	Del juego armónico de los arts. 1737, 1738 y 1741 del CCyC es posible inferir sin mayor hesitación que no media una identificación conceptual plena entre el daño jurídico que gira en torno a la lesión y opera como presupuesto de responsabilidad (art. 1737) y el daño indemnizable que se constituye a partir de las consecuencias de tal lesión y se erige como módulo referencial para determinar la procedencia y extensión del resarcimiento (art. 1738 y 1741) (cf. MOREA, Adrián Oscar, Las lesiones temporales y el daño resarcible en el sistema indemnizatorio argentino, Temas de Derecho Civil, Persona y Patrimonio, Ed. Erreius, 2020-9-septiembre).</w:t>
      </w:r>
    </w:p>
    <w:p>
      <w:pPr>
        <w:pStyle w:val="[Normal]"/>
        <w:spacing w:line="360" w:lineRule="auto"/>
        <w:jc w:val="both"/>
        <w:rPr>
          <w:color w:val="000000"/>
          <w:lang w:val="es-AR" w:eastAsia="es-AR" w:bidi="es-AR"/>
        </w:rPr>
      </w:pPr>
      <w:r>
        <w:rPr>
          <w:color w:val="000000"/>
          <w:lang w:val="es-AR" w:eastAsia="es-AR" w:bidi="es-AR"/>
        </w:rPr>
        <w:t xml:space="preserve"> 	Retornando nuevamente al caso bajo juzgamiento, advierto desde aquí que, si bien ha quedado acreditada una situación lesiva para la actora en virtud de la indebida ocupación de una porción de su inmueble como consecuencia del incorrecto emplazamiento del alambrado divisorio, no se ha demostrado con grado suficiente de certeza que la explotación económica de esa franja se hubiera visto efectivamente impedida o restringida en la medida postulada al demandar. En pocas palabras, la parte apelante no ha logrado probar el </w:t>
      </w:r>
      <w:r>
        <w:rPr>
          <w:i/>
          <w:color w:val="000000"/>
          <w:lang w:val="es-AR" w:eastAsia="es-AR" w:bidi="es-AR"/>
        </w:rPr>
        <w:t xml:space="preserve">"daño consecuencia"</w:t>
      </w:r>
      <w:r>
        <w:rPr>
          <w:color w:val="000000"/>
          <w:lang w:val="es-AR" w:eastAsia="es-AR" w:bidi="es-AR"/>
        </w:rPr>
        <w:t xml:space="preserve">. </w:t>
        <w:br w:type="textWrapping"/>
      </w:r>
      <w:r>
        <w:rPr>
          <w:color w:val="000000"/>
          <w:lang w:val="es-AR" w:eastAsia="es-AR" w:bidi="es-AR"/>
        </w:rPr>
        <w:t xml:space="preserve"> 	En efecto, más allá de la antijuridicidad de la ocupación verificada, no se produjo prueba bastante acerca de que el sector en conflicto no pudiera ser sembrado, cosechado o materialmente aprovechado, ni de que la actora hubiera perdido, en concreto, frutos, rindes o utilidades económicamente apreciables derivados de esa específica porción del predio. Antes bien, aun cuando se invocó que el alambrado habría imposibilitado el acceso y laboreo del terreno, también se acreditó la existencia de un tranquerón que admitía corrimiento, extremo que no permite descartar categóricamente el paso de maquinaria hacia ese sector del campo ni, por ende, tener por demostrada sin más la frustración de su aprovechamiento productivo. 	</w:t>
        <w:br w:type="textWrapping"/>
      </w:r>
      <w:r>
        <w:rPr>
          <w:color w:val="000000"/>
          <w:lang w:val="es-AR" w:eastAsia="es-AR" w:bidi="es-AR"/>
        </w:rPr>
        <w:t xml:space="preserve"> 	De tal modo, no basta la sola comprobación del daño-lesión consistente en la invasión material de la parcela para tener por configurado, de manera automática, el daño patrimonial resarcible, desde que éste requiere prueba concreta de las consecuencias económicas derivadas de aquella situación antijurídica. 	</w:t>
        <w:br w:type="textWrapping"/>
      </w:r>
      <w:r>
        <w:rPr>
          <w:color w:val="000000"/>
          <w:lang w:val="es-AR" w:eastAsia="es-AR" w:bidi="es-AR"/>
        </w:rPr>
        <w:t xml:space="preserve"> 	En virtud de ello y de las demás consideraciones expuestas, corresponde desestimar el presente agravio..</w:t>
      </w:r>
    </w:p>
    <w:p>
      <w:pPr>
        <w:pStyle w:val="[Normal]"/>
        <w:spacing w:line="360" w:lineRule="auto"/>
        <w:jc w:val="both"/>
        <w:rPr>
          <w:color w:val="000000"/>
          <w:lang w:val="es-AR" w:eastAsia="es-AR" w:bidi="es-AR"/>
        </w:rPr>
      </w:pPr>
      <w:r>
        <w:rPr>
          <w:color w:val="000000"/>
          <w:lang w:val="es-AR" w:eastAsia="es-AR" w:bidi="es-AR"/>
        </w:rPr>
        <w:t xml:space="preserve"> 	II.2. Tampoco resulta atendible la crítica dirigida a la valoración de la prueba producida sobre la existencia del daño. 	</w:t>
        <w:br w:type="textWrapping"/>
      </w:r>
      <w:r>
        <w:rPr>
          <w:color w:val="000000"/>
          <w:lang w:val="es-AR" w:eastAsia="es-AR" w:bidi="es-AR"/>
        </w:rPr>
        <w:t xml:space="preserve"> 	A saber, la actora sostiene que de la testimonial rendida en autos surge que el campo era explotado mediante un contrato de aparcería en cuya virtud Sarape percibía el 40% de la producción bruta, de lo que infiere que la privación del uso y goce de la franja reivindicada le hizo necesariamente perder los frutos correspondientes a esa superficie; con ese fundamento, pretende que se admita el resarcimiento por falta de percepción de frutos. </w:t>
      </w:r>
    </w:p>
    <w:p>
      <w:pPr>
        <w:pStyle w:val="[Normal]"/>
        <w:spacing w:line="360" w:lineRule="auto"/>
        <w:jc w:val="both"/>
        <w:rPr>
          <w:color w:val="000000"/>
          <w:lang w:val="es-AR" w:eastAsia="es-AR" w:bidi="es-AR"/>
        </w:rPr>
      </w:pPr>
      <w:r>
        <w:rPr>
          <w:color w:val="000000"/>
          <w:lang w:val="es-AR" w:eastAsia="es-AR" w:bidi="es-AR"/>
        </w:rPr>
        <w:t xml:space="preserve"> 	No obstante, el agravio no logra desvirtuar el razonamiento central del fallo. 	</w:t>
        <w:br w:type="textWrapping"/>
      </w:r>
      <w:r>
        <w:rPr>
          <w:color w:val="000000"/>
          <w:lang w:val="es-AR" w:eastAsia="es-AR" w:bidi="es-AR"/>
        </w:rPr>
        <w:t xml:space="preserve"> 	Como he señalado en el punto anterior, la sentencia no desconoció ni la existencia de la aparcería ni que, en abstracto, una menor superficie explotada pudiera traducirse en una merma patrimonial para la propietaria. Lo que consideró no acreditado fue, precisamente, que esa pérdida se hubiera producido en la forma concreta alegada y en la extensión reclamada. Y para así decidir ponderó, de un lado, que los contratos de aparcería acompañados por la propia actora consignaban una superficie total de 10,6 hectáreas, coincidente con la que surge del título de dominio; y, de otro, que la única factura aportada -correspondiente a la campaña 2023/2024- daba cuenta de la percepción del 40% de lo cosechado en 7,3 hectáreas, pero remitiendo al mismo tiempo al contrato celebrado el 14/11/2023, sin brindar una explicación suficiente acerca de la diferencia entre la superficie nominalmente contratada y la efectivamente explotada. Sobre esa base, concluyó que la prueba rendida no generaba convicción bastante ni sobre la efectiva existencia del daño ni sobre su magnitud. </w:t>
      </w:r>
    </w:p>
    <w:p>
      <w:pPr>
        <w:pStyle w:val="[Normal]"/>
        <w:spacing w:line="360" w:lineRule="auto"/>
        <w:jc w:val="both"/>
        <w:rPr>
          <w:color w:val="000000"/>
          <w:lang w:val="es-AR" w:eastAsia="es-AR" w:bidi="es-AR"/>
        </w:rPr>
      </w:pPr>
      <w:r>
        <w:rPr>
          <w:color w:val="000000"/>
          <w:lang w:val="es-AR" w:eastAsia="es-AR" w:bidi="es-AR"/>
        </w:rPr>
        <w:t xml:space="preserve"> 	Frente a ello, la apelante insiste en asignar a la declaración de Andrés Pereyra un alcance demostrativo que, a mi juicio, excede el que razonablemente puede extraerse de sus dichos. Es cierto que el testigo afirmó trabajar una fracción del campo de Sarape, refirió que existía un alambrado entre ambos predios desde la campaña 2015/2016 y expresó que tenía un contrato de aparcería </w:t>
      </w:r>
      <w:r>
        <w:rPr>
          <w:i/>
          <w:color w:val="000000"/>
          <w:lang w:val="es-AR" w:eastAsia="es-AR" w:bidi="es-AR"/>
        </w:rPr>
        <w:t xml:space="preserve">“que se paga el 40% de la producción bruta”</w:t>
      </w:r>
      <w:r>
        <w:rPr>
          <w:color w:val="000000"/>
          <w:lang w:val="es-AR" w:eastAsia="es-AR" w:bidi="es-AR"/>
        </w:rPr>
        <w:t xml:space="preserve">; incluso informó rindes de distintas campañas. Pero de allí no se sigue, sin más, que haya quedado acreditado que las 2,1 hectáreas en litigio no fueron explotadas, ni que Sarape haya dejado efectivamente de percibir el 40% de la producción correspondiente a esa exacta superficie durante todo el período reclamado. Lo que falta, justamente, es el enlace probatorio entre el dato genérico de la aparcería y la concreta demostración del daño cuya reparación se persigue. </w:t>
      </w:r>
    </w:p>
    <w:p>
      <w:pPr>
        <w:pStyle w:val="[Normal]"/>
        <w:spacing w:line="360" w:lineRule="auto"/>
        <w:jc w:val="both"/>
        <w:rPr>
          <w:color w:val="000000"/>
          <w:lang w:val="es-AR" w:eastAsia="es-AR" w:bidi="es-AR"/>
        </w:rPr>
      </w:pPr>
      <w:r>
        <w:rPr>
          <w:color w:val="000000"/>
          <w:lang w:val="es-AR" w:eastAsia="es-AR" w:bidi="es-AR"/>
        </w:rPr>
        <w:t xml:space="preserve"> 	No mejora la suerte del recurso la alegación de que </w:t>
      </w:r>
      <w:r>
        <w:rPr>
          <w:i/>
          <w:color w:val="000000"/>
          <w:lang w:val="es-AR" w:eastAsia="es-AR" w:bidi="es-AR"/>
        </w:rPr>
        <w:t xml:space="preserve">“del otro lado del alambrado sólo hay pasto”</w:t>
      </w:r>
      <w:r>
        <w:rPr>
          <w:color w:val="000000"/>
          <w:lang w:val="es-AR" w:eastAsia="es-AR" w:bidi="es-AR"/>
        </w:rPr>
        <w:t xml:space="preserve"> y que, por ende, el daño sería fácilmente cuantificable. Al respecto, la sentencia ponderó con acierto en que al propio testigo Pereyra -quien trabajaba el campo de la actora- no se le preguntó cuál era la superficie efectivamente explotada ni por qué razón diferían los datos emergentes del contrato y de la factura, omisión que adquiere singular relevancia cuando precisamente de esa prueba testimonial se pretende extraer la certeza necesaria para admitir el resarcimiento. A ello se suma que el mismo testigo declaró la existencia de un tranquerón flexible entre ambos campos, por el que pasaba la maquinaria de uno a otro, circunstancia que, aun sin desvirtuar la invasión material de la franja, impide afirmar categóricamente que el acceso y el eventual aprovechamiento productivo de ese sector hubieran estado absolutamente vedados. </w:t>
      </w:r>
    </w:p>
    <w:p>
      <w:pPr>
        <w:pStyle w:val="[Normal]"/>
        <w:spacing w:line="360" w:lineRule="auto"/>
        <w:jc w:val="both"/>
        <w:rPr>
          <w:color w:val="000000"/>
          <w:lang w:val="es-AR" w:eastAsia="es-AR" w:bidi="es-AR"/>
        </w:rPr>
      </w:pPr>
      <w:r>
        <w:rPr>
          <w:color w:val="000000"/>
          <w:lang w:val="es-AR" w:eastAsia="es-AR" w:bidi="es-AR"/>
        </w:rPr>
        <w:t xml:space="preserve"> 	En realidad, el discurso recursivo parte de una inferencia que no alcanza para suplir la carga probatoria que incumbía a la actora. En rigor, que Sarape percibiera el 40% de la producción bruta del campo dado en aparcería no autoriza, por sí solo, a concluir que dejó de percibir automáticamente el porcentaje equivalente sobre toda la superficie reivindicada. Para arribar a esa conclusión era menester acreditar, con razonable precisión, que dicha porción no fue efectivamente explotada, o bien que su explotación resultó materialmente impedida por el emplazamiento del alambrado; y, además, que ello se tradujo en una merma económica cierta susceptible de cuantificación. Tales extremos no quedan demostrados por la mera referencia testimonial al porcentaje convenido. </w:t>
      </w:r>
    </w:p>
    <w:p>
      <w:pPr>
        <w:pStyle w:val="[Normal]"/>
        <w:spacing w:line="360" w:lineRule="auto"/>
        <w:jc w:val="both"/>
        <w:rPr>
          <w:color w:val="000000"/>
          <w:lang w:val="es-AR" w:eastAsia="es-AR" w:bidi="es-AR"/>
        </w:rPr>
      </w:pPr>
      <w:r>
        <w:rPr>
          <w:color w:val="000000"/>
          <w:lang w:val="es-AR" w:eastAsia="es-AR" w:bidi="es-AR"/>
        </w:rPr>
        <w:t xml:space="preserve"> 	En definitiva, aun cuando la prueba producida permita considerar verosímil que la indebida ocupación de una franja del inmueble fuera apta para ocasionar alguna incidencia patrimonial, no alcanza en este caso para tener por acreditado, con el grado de certeza exigible, que la actora hubiera dejado efectivamente de percibir los frutos que reclama ni cuál habría sido su entidad. </w:t>
      </w:r>
    </w:p>
    <w:p>
      <w:pPr>
        <w:pStyle w:val="[Normal]"/>
        <w:spacing w:line="360" w:lineRule="auto"/>
        <w:jc w:val="both"/>
        <w:rPr>
          <w:color w:val="000000"/>
          <w:lang w:val="es-AR" w:eastAsia="es-AR" w:bidi="es-AR"/>
        </w:rPr>
      </w:pPr>
      <w:r>
        <w:rPr>
          <w:color w:val="000000"/>
          <w:lang w:val="es-AR" w:eastAsia="es-AR" w:bidi="es-AR"/>
        </w:rPr>
        <w:t xml:space="preserve"> 	Por ello, la crítica no pasa de exteriorizar una discrepancia con la valoración efectuada por el sentenciante, sin demostrar error concreto en la conclusión según la cual no se hallaron suficientemente probados ni el daño ni su extensión. Corresponde, en consecuencia, desestimar también este agravio.</w:t>
      </w:r>
    </w:p>
    <w:p>
      <w:pPr>
        <w:pStyle w:val="[Normal]"/>
        <w:spacing w:line="360" w:lineRule="auto"/>
        <w:jc w:val="both"/>
        <w:rPr>
          <w:color w:val="000000"/>
          <w:lang w:val="es-AR" w:eastAsia="es-AR" w:bidi="es-AR"/>
        </w:rPr>
      </w:pPr>
      <w:r>
        <w:rPr>
          <w:color w:val="000000"/>
          <w:lang w:val="es-AR" w:eastAsia="es-AR" w:bidi="es-AR"/>
        </w:rPr>
        <w:t xml:space="preserve"> 	En cuanto a las costas de Alzada, habré de precisar que las mismas serán impuestas por separado atento a la autonomía lógica y jurídica de las pretensiones procesales planteadas por la parte actora. 	</w:t>
        <w:br w:type="textWrapping"/>
      </w:r>
      <w:r>
        <w:rPr>
          <w:color w:val="000000"/>
          <w:lang w:val="es-AR" w:eastAsia="es-AR" w:bidi="es-AR"/>
        </w:rPr>
        <w:t xml:space="preserve"> 	Sobre este aspecto, se ha dicho que: </w:t>
      </w:r>
      <w:r>
        <w:rPr>
          <w:i/>
          <w:color w:val="000000"/>
          <w:lang w:val="es-AR" w:eastAsia="es-AR" w:bidi="es-AR"/>
        </w:rPr>
        <w:t xml:space="preserve">"Habiendo la actora acumulado las acciones de cumplimiento de contrato -escrituración- y daños y perjuicios por su propia decisión, con resultado diverso cada una de ellas, tal situación tiene su lógico reflejo en el discernimiento de las costas, que deberán establecerse por separado, pesando sobre el actor vencido las relativas a los daños y perjuicios desestimados y sobre la accionada las vinculadas al cumplimiento del acto escriturario que mereciera decisión favorable" </w:t>
      </w:r>
      <w:r>
        <w:rPr>
          <w:color w:val="000000"/>
          <w:lang w:val="es-AR" w:eastAsia="es-AR" w:bidi="es-AR"/>
        </w:rPr>
        <w:t xml:space="preserve">(Cámara de Apelaciones en lo Civil y Comercial de Quilmes, Sala 1, </w:t>
      </w:r>
      <w:r>
        <w:rPr>
          <w:i/>
          <w:color w:val="000000"/>
          <w:lang w:val="es-AR" w:eastAsia="es-AR" w:bidi="es-AR"/>
        </w:rPr>
        <w:t xml:space="preserve">"Navas, Carlos Alberto c/Fernandez, Jorge s/Escrituración"</w:t>
      </w:r>
      <w:r>
        <w:rPr>
          <w:color w:val="000000"/>
          <w:lang w:val="es-AR" w:eastAsia="es-AR" w:bidi="es-AR"/>
        </w:rPr>
        <w:t xml:space="preserve">, 19/12/2005).</w:t>
      </w:r>
    </w:p>
    <w:p>
      <w:pPr>
        <w:pStyle w:val="[Normal]"/>
        <w:spacing w:line="360" w:lineRule="auto"/>
        <w:jc w:val="both"/>
        <w:rPr>
          <w:color w:val="000000"/>
          <w:lang w:val="es-AR" w:eastAsia="es-AR" w:bidi="es-AR"/>
        </w:rPr>
      </w:pPr>
    </w:p>
    <w:p>
      <w:pPr>
        <w:pStyle w:val="[Normal]"/>
        <w:spacing w:line="360" w:lineRule="auto"/>
        <w:jc w:val="both"/>
        <w:rPr>
          <w:color w:val="000000"/>
          <w:lang w:val="es-AR" w:eastAsia="es-AR" w:bidi="es-AR"/>
        </w:rPr>
      </w:pPr>
    </w:p>
    <w:p>
      <w:pPr>
        <w:pStyle w:val="[Normal]"/>
        <w:spacing w:line="360" w:lineRule="auto"/>
        <w:jc w:val="both"/>
        <w:rPr>
          <w:lang w:val="es-AR" w:eastAsia="es-AR" w:bidi="es-AR"/>
        </w:rPr>
      </w:pPr>
      <w:r>
        <w:rPr>
          <w:lang w:val="es-AR" w:eastAsia="es-AR" w:bidi="es-AR"/>
        </w:rPr>
        <w:t xml:space="preserve"> 	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jc w:val="both"/>
        <w:rPr>
          <w:color w:val="000000"/>
          <w:lang w:val="es-AR" w:eastAsia="es-AR" w:bidi="es-AR"/>
        </w:rPr>
      </w:pPr>
      <w:r>
        <w:rPr>
          <w:color w:val="000000"/>
          <w:lang w:val="es-AR" w:eastAsia="es-AR" w:bidi="es-AR"/>
        </w:rPr>
        <w:t xml:space="preserve"> 	1) Rechazar el recurso de apelación interpuesto por la parte actora, confirmando el fallo recurrido en cuanto rechaza la pretensión resarcitoria. Con costas de Alzada a la parte actora (art. 68/9 del CPCCBA).</w:t>
      </w:r>
    </w:p>
    <w:p>
      <w:pPr>
        <w:pStyle w:val="[Normal]"/>
        <w:spacing w:line="360" w:lineRule="auto"/>
        <w:jc w:val="both"/>
        <w:rPr>
          <w:color w:val="000000"/>
          <w:lang w:val="es-AR" w:eastAsia="es-AR" w:bidi="es-AR"/>
        </w:rPr>
      </w:pPr>
      <w:r>
        <w:rPr>
          <w:color w:val="000000"/>
          <w:lang w:val="es-AR" w:eastAsia="es-AR" w:bidi="es-AR"/>
        </w:rPr>
        <w:t xml:space="preserve"> 	2) Rechazar el recurso de apelación interpuesto por la parte demandada, confirmando el fallo recurrido en cuanto hace lugar a la demanda de reivindicación. Con costas de Alzada a la parte demandada (art. 68/9 del CPCCBA).</w:t>
      </w:r>
    </w:p>
    <w:p>
      <w:pPr>
        <w:pStyle w:val="[Normal]"/>
        <w:spacing w:line="360" w:lineRule="auto"/>
        <w:jc w:val="both"/>
        <w:rPr>
          <w:lang w:val="es-AR" w:eastAsia="es-AR" w:bidi="es-AR"/>
        </w:rPr>
      </w:pPr>
      <w:r>
        <w:rPr>
          <w:color w:val="000000"/>
          <w:lang w:val="es-AR" w:eastAsia="es-AR" w:bidi="es-AR"/>
        </w:rPr>
        <w:t xml:space="preserve"> 	3) Diferir la regulación de honorarios hasta su oportunidad procesal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jc w:val="both"/>
        <w:rPr>
          <w:color w:val="000000"/>
          <w:lang w:val="es-AR" w:eastAsia="es-AR" w:bidi="es-AR"/>
        </w:rPr>
      </w:pPr>
      <w:r>
        <w:rPr>
          <w:color w:val="000000"/>
          <w:lang w:val="es-AR" w:eastAsia="es-AR" w:bidi="es-AR"/>
        </w:rPr>
        <w:t xml:space="preserve"> 	1) Rechazar el recurso de apelación interpuesto por la parte actora, confirmando el fallo recurrido en cuanto rechaza la pretensión resarcitoria. Con costas de Alzada a la parte actora (art. 68/9 del CPCCBA).</w:t>
      </w:r>
    </w:p>
    <w:p>
      <w:pPr>
        <w:pStyle w:val="[Normal]"/>
        <w:spacing w:line="360" w:lineRule="auto"/>
        <w:jc w:val="both"/>
        <w:rPr>
          <w:color w:val="000000"/>
          <w:lang w:val="es-AR" w:eastAsia="es-AR" w:bidi="es-AR"/>
        </w:rPr>
      </w:pPr>
      <w:r>
        <w:rPr>
          <w:color w:val="000000"/>
          <w:lang w:val="es-AR" w:eastAsia="es-AR" w:bidi="es-AR"/>
        </w:rPr>
        <w:t xml:space="preserve"> 	2) Rechazar el recurso de apelación interpuesto por la parte demandada, confirmando el fallo recurrido en cuanto hace lugar a la demanda de reivindicación. Con costas de Alzada a la parte demandada (art. 68/9 del CPCCBA).</w:t>
      </w:r>
    </w:p>
    <w:p>
      <w:pPr>
        <w:pStyle w:val="[Normal]"/>
        <w:spacing w:line="360" w:lineRule="auto"/>
        <w:jc w:val="both"/>
        <w:rPr>
          <w:lang w:val="es-AR" w:eastAsia="es-AR" w:bidi="es-AR"/>
        </w:rPr>
      </w:pPr>
      <w:r>
        <w:rPr>
          <w:color w:val="000000"/>
          <w:lang w:val="es-AR" w:eastAsia="es-AR" w:bidi="es-AR"/>
        </w:rPr>
        <w:t xml:space="preserve"> 	3) Diferir la regulación de honorarios hasta su oportunidad procesal (art. 31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10:54:29 -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10:56:05 -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12:28:18 -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‰8,")è&amp;v7`PŠ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241202090006862364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09/04/2026 12:28:41 hs. bajo el número RS-47-2026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4" w:line="362" w:lineRule="auto"/>
      <w:ind w:left="0" w:right="0" w:firstLine="698"/>
      <w:jc w:val="both"/>
    </w:pPr>
    <w:rPr>
      <w:rFonts w:ascii="Arial" w:hAnsi="Arial" w:eastAsia="Arial" w:cs="Arial"/>
      <w:b w:val="off"/>
      <w:bCs w:val="off"/>
      <w:i w:val="off"/>
      <w:iCs w:val="off"/>
      <w:strike w:val="off"/>
      <w:color w:val="000000"/>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