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5893-25</w:t>
      </w:r>
      <w:r>
        <w:rPr>
          <w:lang w:val="es-AR" w:eastAsia="es-AR" w:bidi="es-AR"/>
        </w:rPr>
        <w:t xml:space="preserve"> caratulada </w:t>
      </w:r>
      <w:r>
        <w:rPr>
          <w:b/>
          <w:lang w:val="es-AR" w:eastAsia="es-AR" w:bidi="es-AR"/>
        </w:rPr>
        <w:t xml:space="preserve">"</w:t>
      </w:r>
      <w:r>
        <w:rPr>
          <w:b/>
          <w:color w:val="000000"/>
          <w:lang w:val="es-AR" w:eastAsia="es-AR" w:bidi="es-AR"/>
        </w:rPr>
        <w:t xml:space="preserve">ROMANO MARCELA CAROLINA C/ SANCOR COOP DE SEGURO LTDA.  Y OTROS S/ DAÑOS Y PERJ.AUTOM. C/LES. O MUERTE (EXC.ESTADO)</w:t>
      </w:r>
      <w:r>
        <w:rPr>
          <w:b/>
          <w:lang w:val="es-AR" w:eastAsia="es-AR" w:bidi="es-AR"/>
        </w:rPr>
        <w:t xml:space="preserve">"</w:t>
      </w:r>
      <w:r>
        <w:rPr>
          <w:lang w:val="es-AR" w:eastAsia="es-AR" w:bidi="es-AR"/>
        </w:rPr>
        <w:t xml:space="preserve">, Expte. N° 67.560</w:t>
      </w:r>
      <w:r>
        <w:rPr>
          <w:color w:val="000000"/>
          <w:lang w:val="es-AR" w:eastAsia="es-AR" w:bidi="es-AR"/>
        </w:rPr>
        <w:t xml:space="preserve"> </w:t>
      </w:r>
      <w:r>
        <w:rPr>
          <w:lang w:val="es-AR" w:eastAsia="es-AR" w:bidi="es-AR"/>
        </w:rPr>
        <w:t xml:space="preserve">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hizo lugar a la demanda instaurada por Marcela Carolina Romano y Paloma Tévez Romano, condenando en consecuencia a Mario Gabriel Zappa; María del Carmen Torroba y SANCOR  COOPERATIVA DE SEGUROS LIMITADA -esta última dentro de los límites del contrato de seguro-, a abonar a la primera, la suma de pesos cinco millones quinientos treinta y nueve mil sesicientos ochenta ($ 5.539.680) y a la segunda, la suma de pesos treinta y cinco millones ciento sesenta y nueve mil cuatrocientos setenta y ocho  con 18/100 ctvos.($ 35.169.478.18), dentro de los diez días de notificada, con más sus intereses. Aplicó las costas a la parte demandada y a la citada en garantía vencidas y difirió la regulación de honorarios de  los  letrados intervinientes  y  de  los  peritos.</w:t>
      </w:r>
    </w:p>
    <w:p>
      <w:pPr>
        <w:pStyle w:val="[Normal]"/>
        <w:spacing w:line="360" w:lineRule="auto"/>
        <w:ind w:firstLine="1134"/>
        <w:jc w:val="both"/>
        <w:rPr>
          <w:lang w:val="es-AR" w:eastAsia="es-AR" w:bidi="es-AR"/>
        </w:rPr>
      </w:pPr>
      <w:r>
        <w:rPr>
          <w:lang w:val="es-AR" w:eastAsia="es-AR" w:bidi="es-AR"/>
        </w:rPr>
        <w:t xml:space="preserve">Mediante escrito de fecha 21/10/2025 apeló la parte actora y en fecha 20/10/2025 el apoderado de la citada en garantía Sancor Cooperativa de Seguros Ltda., ambos recursos fueron concedidos libremente el 27/10/2025.</w:t>
      </w:r>
    </w:p>
    <w:p>
      <w:pPr>
        <w:pStyle w:val="[Normal]"/>
        <w:spacing w:line="360" w:lineRule="auto"/>
        <w:ind w:firstLine="1134"/>
        <w:jc w:val="both"/>
        <w:rPr>
          <w:lang w:val="es-AR" w:eastAsia="es-AR" w:bidi="es-AR"/>
        </w:rPr>
      </w:pPr>
      <w:r>
        <w:rPr>
          <w:lang w:val="es-AR" w:eastAsia="es-AR" w:bidi="es-AR"/>
        </w:rPr>
        <w:t xml:space="preserve">Ingresados los autos a este organismo el 29/10/2025, se ordenó expresar agravios la parte actora el 11/12/2025, dando cumplimiento el 17/12/2025, siendo declarado desierto el recurso interpuesto por la citada en garantía mediante resolución del 10/2/2026.</w:t>
      </w:r>
    </w:p>
    <w:p>
      <w:pPr>
        <w:pStyle w:val="[Normal]"/>
        <w:spacing w:line="360" w:lineRule="auto"/>
        <w:ind w:firstLine="1134"/>
        <w:jc w:val="both"/>
        <w:rPr>
          <w:lang w:val="es-AR" w:eastAsia="es-AR" w:bidi="es-AR"/>
        </w:rPr>
      </w:pPr>
      <w:r>
        <w:rPr>
          <w:lang w:val="es-AR" w:eastAsia="es-AR" w:bidi="es-AR"/>
        </w:rPr>
        <w:t xml:space="preserve">La parte actora se agravia, en primer término, de la atribución de responsabilidad concurrente en el siniestro, en tanto el sentenciante consideró que ambos conductores contribuyeron causalmente al hecho, asignando a la demandada un 60% de responsabilidad. </w:t>
      </w:r>
    </w:p>
    <w:p>
      <w:pPr>
        <w:pStyle w:val="[Normal]"/>
        <w:spacing w:line="360" w:lineRule="auto"/>
        <w:ind w:firstLine="1134"/>
        <w:jc w:val="both"/>
        <w:rPr>
          <w:lang w:val="es-AR" w:eastAsia="es-AR" w:bidi="es-AR"/>
        </w:rPr>
      </w:pPr>
      <w:r>
        <w:rPr>
          <w:lang w:val="es-AR" w:eastAsia="es-AR" w:bidi="es-AR"/>
        </w:rPr>
        <w:t xml:space="preserve">Sostiene que dicha conclusión es errónea, pues la mecánica del accidente demuestra la responsabilidad exclusiva del demandado, quien realizó un giro imprudente en “U” invadiendo el carril izquierdo sin señalización previa. </w:t>
      </w:r>
    </w:p>
    <w:p>
      <w:pPr>
        <w:pStyle w:val="[Normal]"/>
        <w:spacing w:line="360" w:lineRule="auto"/>
        <w:ind w:firstLine="1134"/>
        <w:jc w:val="both"/>
        <w:rPr>
          <w:lang w:val="es-AR" w:eastAsia="es-AR" w:bidi="es-AR"/>
        </w:rPr>
      </w:pPr>
      <w:r>
        <w:rPr>
          <w:lang w:val="es-AR" w:eastAsia="es-AR" w:bidi="es-AR"/>
        </w:rPr>
        <w:t xml:space="preserve">Afirma que no existió adelantamiento antirreglamentario por parte del conductor de la motocicleta, ya que circulaba por un carril habilitado para el sobrepaso en una avenida de doble carril por mano, y que la interpretación del art. 42 de la Ley de Tránsito efectuada por el a quo resulta inaplicable al caso. </w:t>
      </w:r>
    </w:p>
    <w:p>
      <w:pPr>
        <w:pStyle w:val="[Normal]"/>
        <w:spacing w:line="360" w:lineRule="auto"/>
        <w:ind w:firstLine="1134"/>
        <w:jc w:val="both"/>
        <w:rPr>
          <w:lang w:val="es-AR" w:eastAsia="es-AR" w:bidi="es-AR"/>
        </w:rPr>
      </w:pPr>
      <w:r>
        <w:rPr>
          <w:lang w:val="es-AR" w:eastAsia="es-AR" w:bidi="es-AR"/>
        </w:rPr>
        <w:t xml:space="preserve">Asimismo, cuestiona la valoración de la falta de licencia de conducir del motociclista, señalando que se trata de una infracción administrativa sin incidencia causal en el evento dañoso.</w:t>
      </w:r>
    </w:p>
    <w:p>
      <w:pPr>
        <w:pStyle w:val="[Normal]"/>
        <w:spacing w:line="360" w:lineRule="auto"/>
        <w:ind w:firstLine="1134"/>
        <w:jc w:val="both"/>
        <w:rPr>
          <w:lang w:val="es-AR" w:eastAsia="es-AR" w:bidi="es-AR"/>
        </w:rPr>
      </w:pPr>
      <w:r>
        <w:rPr>
          <w:lang w:val="es-AR" w:eastAsia="es-AR" w:bidi="es-AR"/>
        </w:rPr>
        <w:t xml:space="preserve">En segundo lugar, se agravia del porcentaje de incapacidad fijado en el 42%, por entender que el sentenciante se basó exclusivamente en el dictamen pericial sin considerar las impugnaciones formuladas ni la restante prueba médica incorporada. Sostiene que la perito omitió valorar informes médicos actualizados, así como determinados ítems del baremo aplicable (dolor crónico y material de osteosíntesis), lo que habría derivado en una subestimación del grado de incapacidad.</w:t>
      </w:r>
    </w:p>
    <w:p>
      <w:pPr>
        <w:pStyle w:val="[Normal]"/>
        <w:spacing w:line="360" w:lineRule="auto"/>
        <w:ind w:firstLine="1134"/>
        <w:jc w:val="both"/>
        <w:rPr>
          <w:lang w:val="es-AR" w:eastAsia="es-AR" w:bidi="es-AR"/>
        </w:rPr>
      </w:pPr>
      <w:r>
        <w:rPr>
          <w:lang w:val="es-AR" w:eastAsia="es-AR" w:bidi="es-AR"/>
        </w:rPr>
        <w:t xml:space="preserve">En tercer término, cuestiona el cálculo indemnizatorio, en tanto el juez de grado omitió considerar los incrementos previstos en la fórmula “Acciarri”, pese a haber sido invocada en la demanda, lo que habría reducido indebidamente el monto reconocido por incapacidad sobreviniente.</w:t>
      </w:r>
    </w:p>
    <w:p>
      <w:pPr>
        <w:pStyle w:val="[Normal]"/>
        <w:spacing w:line="360" w:lineRule="auto"/>
        <w:ind w:firstLine="1134"/>
        <w:jc w:val="both"/>
        <w:rPr>
          <w:lang w:val="es-AR" w:eastAsia="es-AR" w:bidi="es-AR"/>
        </w:rPr>
      </w:pPr>
      <w:r>
        <w:rPr>
          <w:lang w:val="es-AR" w:eastAsia="es-AR" w:bidi="es-AR"/>
        </w:rPr>
        <w:t xml:space="preserve">Por último, se agravia del monto fijado en concepto de daño moral, por considerarlo insuficiente. Señala que el sentenciante ponderó de manera parcial las consecuencias del hecho, limitándose principalmente al período de inmovilización, sin valorar adecuadamente las secuelas físicas, psicológicas y estéticas acreditadas en la causa, ni el impacto integral del daño en la vida personal, social y futura de la víctima. En función de ello, solicita la elevación de la indemnización correspondiente a este rubro.</w:t>
      </w:r>
    </w:p>
    <w:p>
      <w:pPr>
        <w:pStyle w:val="[Normal]"/>
        <w:spacing w:line="360" w:lineRule="auto"/>
        <w:ind w:firstLine="1134"/>
        <w:jc w:val="both"/>
        <w:rPr>
          <w:lang w:val="es-AR" w:eastAsia="es-AR" w:bidi="es-AR"/>
        </w:rPr>
      </w:pPr>
      <w:r>
        <w:rPr>
          <w:lang w:val="es-AR" w:eastAsia="es-AR" w:bidi="es-AR"/>
        </w:rPr>
        <w:t xml:space="preserve">Finalmente, deja planteado el caso federal para el supuesto de confirmarse la sentencia recurrida.</w:t>
      </w:r>
    </w:p>
    <w:p>
      <w:pPr>
        <w:pStyle w:val="[Normal]"/>
        <w:spacing w:line="360" w:lineRule="auto"/>
        <w:ind w:firstLine="1134"/>
        <w:jc w:val="both"/>
        <w:rPr>
          <w:lang w:val="es-AR" w:eastAsia="es-AR" w:bidi="es-AR"/>
        </w:rPr>
      </w:pPr>
      <w:r>
        <w:rPr>
          <w:lang w:val="es-AR" w:eastAsia="es-AR" w:bidi="es-AR"/>
        </w:rPr>
        <w:t xml:space="preserve">Al contestar el traslado conferido, la contraria solicita su rechazo, con costas, y sostiene la corrección de la sentencia de grado.</w:t>
      </w:r>
    </w:p>
    <w:p>
      <w:pPr>
        <w:pStyle w:val="[Normal]"/>
        <w:spacing w:line="360" w:lineRule="auto"/>
        <w:ind w:firstLine="1134"/>
        <w:jc w:val="both"/>
        <w:rPr>
          <w:lang w:val="es-AR" w:eastAsia="es-AR" w:bidi="es-AR"/>
        </w:rPr>
      </w:pPr>
      <w:r>
        <w:rPr>
          <w:lang w:val="es-AR" w:eastAsia="es-AR" w:bidi="es-AR"/>
        </w:rPr>
        <w:t xml:space="preserve">En relación al primer agravio, defiende la atribución de responsabilidad concurrente, señalando que la decisión del a quo valoró adecuadamente la conducta riesgosa del conductor de la motocicleta, quien habría realizado una maniobra imprudente. Destaca, además, que la falta de licencia de conducir no constituye una mera infracción administrativa, sino un elemento relevante que permite presumir inidoneidad y configura una contribución causal al siniestro, conforme jurisprudencia de la Alzada que cita en apoyo de su postura.</w:t>
      </w:r>
    </w:p>
    <w:p>
      <w:pPr>
        <w:pStyle w:val="[Normal]"/>
        <w:spacing w:line="360" w:lineRule="auto"/>
        <w:ind w:firstLine="1134"/>
        <w:jc w:val="both"/>
        <w:rPr>
          <w:lang w:val="es-AR" w:eastAsia="es-AR" w:bidi="es-AR"/>
        </w:rPr>
      </w:pPr>
      <w:r>
        <w:rPr>
          <w:lang w:val="es-AR" w:eastAsia="es-AR" w:bidi="es-AR"/>
        </w:rPr>
        <w:t xml:space="preserve">Respecto del segundo agravio referido al porcentaje de incapacidad, sostiene que el cuestionamiento resulta improcedente, en tanto la pericia médica fue oportunamente impugnada, ratificada por la experta y no desvirtuada por otra prueba. En consecuencia, afirma que el dictamen pericial ha quedado firme y constituye fundamento suficiente para la decisión adoptada.</w:t>
      </w:r>
    </w:p>
    <w:p>
      <w:pPr>
        <w:pStyle w:val="[Normal]"/>
        <w:spacing w:line="360" w:lineRule="auto"/>
        <w:ind w:firstLine="1134"/>
        <w:jc w:val="both"/>
        <w:rPr>
          <w:lang w:val="es-AR" w:eastAsia="es-AR" w:bidi="es-AR"/>
        </w:rPr>
      </w:pPr>
      <w:r>
        <w:rPr>
          <w:lang w:val="es-AR" w:eastAsia="es-AR" w:bidi="es-AR"/>
        </w:rPr>
        <w:t xml:space="preserve">En cuanto al tercer agravio, relativo al cálculo indemnizatorio, señala que no existe obligación de los jueces de aplicar fórmulas matemáticas específicas ni los parámetros propuestos por las partes, por lo que la crítica de la actora carece de sustento.</w:t>
      </w:r>
    </w:p>
    <w:p>
      <w:pPr>
        <w:pStyle w:val="[Normal]"/>
        <w:spacing w:line="360" w:lineRule="auto"/>
        <w:ind w:firstLine="1134"/>
        <w:jc w:val="both"/>
        <w:rPr>
          <w:lang w:val="es-AR" w:eastAsia="es-AR" w:bidi="es-AR"/>
        </w:rPr>
      </w:pPr>
      <w:r>
        <w:rPr>
          <w:lang w:val="es-AR" w:eastAsia="es-AR" w:bidi="es-AR"/>
        </w:rPr>
        <w:t xml:space="preserve">Finalmente, frente al agravio vinculado al daño moral, argumenta que su cuantificación queda librada al prudente arbitrio judicial, sin que exista un método objetivo de determinación, y que la decisión recurrida no presenta absurdo que justifique su revisión.</w:t>
      </w:r>
    </w:p>
    <w:p>
      <w:pPr>
        <w:pStyle w:val="[Normal]"/>
        <w:spacing w:line="360" w:lineRule="auto"/>
        <w:ind w:firstLine="1134"/>
        <w:jc w:val="both"/>
        <w:rPr>
          <w:lang w:val="es-AR" w:eastAsia="es-AR" w:bidi="es-AR"/>
        </w:rPr>
      </w:pPr>
      <w:r>
        <w:rPr>
          <w:lang w:val="es-AR" w:eastAsia="es-AR" w:bidi="es-AR"/>
        </w:rPr>
        <w:t xml:space="preserve">Por último, formula reserva del caso federal para el supuesto de un pronunciamiento adverso.</w:t>
      </w:r>
    </w:p>
    <w:p>
      <w:pPr>
        <w:pStyle w:val="[Normal]"/>
        <w:spacing w:line="360" w:lineRule="auto"/>
        <w:ind w:firstLine="1134"/>
        <w:jc w:val="both"/>
        <w:rPr>
          <w:lang w:val="es-AR" w:eastAsia="es-AR" w:bidi="es-AR"/>
        </w:rPr>
      </w:pPr>
      <w:r>
        <w:rPr>
          <w:lang w:val="es-AR" w:eastAsia="es-AR" w:bidi="es-AR"/>
        </w:rPr>
        <w:t xml:space="preserve">Entrando a resolver, por un orden lógico el aspecto sobre el que iniciaré el análisis será respecto a la responsabilidad atribuida en primera instancia por ser una cuestión preliminar necesaria a abordar.</w:t>
      </w:r>
    </w:p>
    <w:p>
      <w:pPr>
        <w:pStyle w:val="[Normal]"/>
        <w:spacing w:line="360" w:lineRule="auto"/>
        <w:ind w:firstLine="1134"/>
        <w:jc w:val="both"/>
        <w:rPr>
          <w:lang w:val="es-AR" w:eastAsia="es-AR" w:bidi="es-AR"/>
        </w:rPr>
      </w:pPr>
      <w:r>
        <w:rPr>
          <w:lang w:val="es-AR" w:eastAsia="es-AR" w:bidi="es-AR"/>
        </w:rPr>
        <w:t xml:space="preserve">En tal cometido y adelantando opinión al respecto entiendo que la decisión primera resulta acertada, ello en tanto ha sido debida y correctamente fundada en los elementos probatorios colectados en autos y la legislación allí expuesta.</w:t>
      </w:r>
    </w:p>
    <w:p>
      <w:pPr>
        <w:pStyle w:val="[Normal]"/>
        <w:spacing w:line="360" w:lineRule="auto"/>
        <w:ind w:firstLine="1134"/>
        <w:jc w:val="both"/>
        <w:rPr>
          <w:lang w:val="es-AR" w:eastAsia="es-AR" w:bidi="es-AR"/>
        </w:rPr>
      </w:pPr>
      <w:r>
        <w:rPr>
          <w:lang w:val="es-AR" w:eastAsia="es-AR" w:bidi="es-AR"/>
        </w:rPr>
        <w:t xml:space="preserve">En efecto, resulta dirimente para ello el relato expuesto por el conductor de la motocicleta partícipe del hecho, Sr. Eber Joaquín Molina a Fs. 160/161 de la causa penal formada con motivo del mismo (Causa 723/2023 caratulada "Zappa, Mario Gabriel s/Lesiones Culposas", de trámite por ante el Juzgado en lo Correccional Nro. 1 Departamental y que en este acto tengo a la vista).</w:t>
      </w:r>
    </w:p>
    <w:p>
      <w:pPr>
        <w:pStyle w:val="[Normal]"/>
        <w:spacing w:line="360" w:lineRule="auto"/>
        <w:ind w:firstLine="1134"/>
        <w:jc w:val="both"/>
        <w:rPr>
          <w:lang w:val="es-AR" w:eastAsia="es-AR" w:bidi="es-AR"/>
        </w:rPr>
      </w:pPr>
      <w:r>
        <w:rPr>
          <w:lang w:val="es-AR" w:eastAsia="es-AR" w:bidi="es-AR"/>
        </w:rPr>
        <w:t xml:space="preserve">En dicha oportunidad el Sr. Molina expuso que: "... </w:t>
      </w:r>
      <w:r>
        <w:rPr>
          <w:i/>
          <w:lang w:val="es-AR" w:eastAsia="es-AR" w:bidi="es-AR"/>
        </w:rPr>
        <w:t xml:space="preserve">iba conduciendo la moto de mi papá junto a mi novia Paloma Teves Romano como acompañante. También venían en otra moto un compañero de fútbol, Valentín Gallo, con su papa, otros venían caminando. </w:t>
      </w:r>
      <w:r>
        <w:rPr>
          <w:i/>
          <w:u w:val="single"/>
          <w:lang w:val="es-AR" w:eastAsia="es-AR" w:bidi="es-AR"/>
        </w:rPr>
        <w:t xml:space="preserve">Yo iba por Av. Pellegrini por el carril del lado del cantero</w:t>
      </w:r>
      <w:r>
        <w:rPr>
          <w:i/>
          <w:lang w:val="es-AR" w:eastAsia="es-AR" w:bidi="es-AR"/>
        </w:rPr>
        <w:t xml:space="preserve"> y adelante  por el carril del lado del cordón circulaba una camioneta Duster, observé que ésta iba bajando la velocidad  y como yo ya estaba para sobrepasarlo me ubiqué en la dirección del espejo de la Duster para ver si el conductor me veía y si yo estaba en el ángulo para que pudiera verme, aceleré para pasar y en el mismo momento la Duster giró a la izquierda, intentando un giro en U, encerrándome, esto fue en la intersección de una calle que no recuerdo el nombre ..</w:t>
      </w:r>
      <w:r>
        <w:rPr>
          <w:i/>
          <w:u w:val="single"/>
          <w:lang w:val="es-AR" w:eastAsia="es-AR" w:bidi="es-AR"/>
        </w:rPr>
        <w:t xml:space="preserve">. que no tuve tiempo a maniobrar </w:t>
      </w:r>
      <w:r>
        <w:rPr>
          <w:i/>
          <w:lang w:val="es-AR" w:eastAsia="es-AR" w:bidi="es-AR"/>
        </w:rPr>
        <w:t xml:space="preserve">..</w:t>
      </w:r>
      <w:r>
        <w:rPr>
          <w:lang w:val="es-AR" w:eastAsia="es-AR" w:bidi="es-AR"/>
        </w:rPr>
        <w:t xml:space="preserve">."</w:t>
      </w:r>
      <w:r>
        <w:rPr>
          <w:b/>
          <w:lang w:val="es-AR" w:eastAsia="es-AR" w:bidi="es-AR"/>
        </w:rPr>
        <w:t xml:space="preserve"> </w:t>
      </w:r>
      <w:r>
        <w:rPr>
          <w:lang w:val="es-AR" w:eastAsia="es-AR" w:bidi="es-AR"/>
        </w:rPr>
        <w:t xml:space="preserve">(fs. 161 Vta./161 causa penal Z. 723/2023 cit.; el subrayado me pertenece).-</w:t>
      </w:r>
    </w:p>
    <w:p>
      <w:pPr>
        <w:pStyle w:val="[Normal]"/>
        <w:spacing w:line="360" w:lineRule="auto"/>
        <w:ind w:firstLine="1134"/>
        <w:jc w:val="both"/>
        <w:rPr>
          <w:lang w:val="es-AR" w:eastAsia="es-AR" w:bidi="es-AR"/>
        </w:rPr>
      </w:pPr>
      <w:r>
        <w:rPr>
          <w:lang w:val="es-AR" w:eastAsia="es-AR" w:bidi="es-AR"/>
        </w:rPr>
        <w:t xml:space="preserve">También coincido con el a quo en cuanto a que se encuentra acreditada la maniobra de sobrepaso en una encrucijada por parte del conductor de la moto, en tanto así lo expusieron los "... testigos Carlos Alberto Gallo, Valentín Gallo y Gastón Emanuel Ruiz Díaz, que prestaron declaración testimonial en la A.V.C de fecha 27/05/2025, fueron contestes en señalar que en que Molina iba conduciendo sobre el carril izquierdo de calle Pellegrini, y que cuando intenta sobrepasar al automóvil, que venía sobre el carril derecho, este gira imprevistamente hacia la izquierda en U y allí se produce el choque. Y, de las constancias de la causa penal, esto es, croquis, fotos y pericia mecánica, surge probado que el choque se produjo sobre Avda. Pellegrini, metros antes de arribar a la intersección con calle Gualberto Alvarez".</w:t>
      </w:r>
    </w:p>
    <w:p>
      <w:pPr>
        <w:pStyle w:val="[Normal]"/>
        <w:spacing w:line="360" w:lineRule="auto"/>
        <w:ind w:firstLine="1134"/>
        <w:jc w:val="both"/>
        <w:rPr>
          <w:lang w:val="es-AR" w:eastAsia="es-AR" w:bidi="es-AR"/>
        </w:rPr>
      </w:pPr>
      <w:r>
        <w:rPr>
          <w:lang w:val="es-AR" w:eastAsia="es-AR" w:bidi="es-AR"/>
        </w:rPr>
        <w:t xml:space="preserve">A lo que debo agregar que las faltas que ha cometido el Sr. Molina, aparte del sobrepaso en la encrucijada que correctamente el juez lo calificara de infracción al Art. 42 Inc. b), también se ha violado las reglas que marcan los arts.  39, incs. b; 40, incs. a y j , y 48 inc. g) de la  Ley de Tránsito  Nacional Nro. 24.449, por adhesión art. 1 Ley 13.927, "Nuevo Código de Tránsito de la Pcia. de Buenos Aires).</w:t>
      </w:r>
    </w:p>
    <w:p>
      <w:pPr>
        <w:pStyle w:val="[Normal]"/>
        <w:spacing w:line="360" w:lineRule="auto"/>
        <w:ind w:firstLine="1134"/>
        <w:jc w:val="both"/>
        <w:rPr>
          <w:lang w:val="es-AR" w:eastAsia="es-AR" w:bidi="es-AR"/>
        </w:rPr>
      </w:pPr>
      <w:r>
        <w:rPr>
          <w:lang w:val="es-AR" w:eastAsia="es-AR" w:bidi="es-AR"/>
        </w:rPr>
        <w:t xml:space="preserve">Es que según lo relatado por el propio conductor no circulaba por el lado derecho de la calzada (como corresponde), y esto no solamente al momento de intentar el sobrepaso sino que lo venia haciendo desde que saliera de las instalaciones de la cancha de fútbol del Club Sirio Libanés de Pergamino; no tener el pleno dominio del vehículo que conducía (dijo expresamente que no pudo maniobrar para evitar la colisión), falta de uso de casco reglamentario (según los dichos de la testigo Angeles Leyro Díaz a Fs. 170 Vta./171 de la ya mencionada causa penal) y la conducción fuera de la prudente distancia del vehículo que lo precedía, y que trasuntan  violaciones simultáneas  a la ley de tránsito, conforme las normas que he identificado en el párrafo anterior.</w:t>
      </w:r>
    </w:p>
    <w:p>
      <w:pPr>
        <w:pStyle w:val="[Normal]"/>
        <w:spacing w:line="360" w:lineRule="auto"/>
        <w:ind w:firstLine="1134"/>
        <w:jc w:val="both"/>
        <w:rPr>
          <w:lang w:val="es-AR" w:eastAsia="es-AR" w:bidi="es-AR"/>
        </w:rPr>
      </w:pPr>
      <w:r>
        <w:rPr>
          <w:lang w:val="es-AR" w:eastAsia="es-AR" w:bidi="es-AR"/>
        </w:rPr>
        <w:t xml:space="preserve">Todo lo cual sella desde esta altura del análisis la suerte del reclamo, en tanto el suceso se produjo efectivamente debido a que en la ocasión, también el motociclista no respetó las normas de tránsito, principalmente la que impone a todo conductor el deber de "circular con cuidado y prevención, conservando en todo momento el dominio efectivo del vehículo, teniendo en cuenta los riesgos propios de la circulación y demás circunstancias de tránsito" (art. 39 de la ley 13.927 y sus complementarias 24.449 y 26.363, por adhesión efectuada en el art. 1 del Nuevo Código de Tránsito de la Provincia de Buenos Aires, Ley 13.927).- </w:t>
      </w:r>
    </w:p>
    <w:p>
      <w:pPr>
        <w:pStyle w:val="[Normal]"/>
        <w:spacing w:line="360" w:lineRule="auto"/>
        <w:ind w:firstLine="1134"/>
        <w:jc w:val="both"/>
        <w:rPr>
          <w:lang w:val="es-AR" w:eastAsia="es-AR" w:bidi="es-AR"/>
        </w:rPr>
      </w:pPr>
      <w:r>
        <w:rPr>
          <w:lang w:val="es-AR" w:eastAsia="es-AR" w:bidi="es-AR"/>
        </w:rPr>
        <w:t xml:space="preserve">Cuestión ésta, en la que influye, a contrario de lo sostenido por el apelante, la falta de licencia de conducir, ya que ello no es meramente una falta administrativa, por el contrario, los arts. 39 y 40 de la ley 13.927 y sus complementarias 24.449 y 26.363 establecen claramente las condiciones para conducir y los requisitos para circular, previendo el inc a) del art. 40 que el primordial requisito de la circulación es que "su conductor esté habilitado para conducir ese tipo de vehículo y que lleve consigo la licencia correspondiente", presupuesto que no ha sido cumplido por quien protagonizó el accidente.-</w:t>
      </w:r>
    </w:p>
    <w:p>
      <w:pPr>
        <w:pStyle w:val="[Normal]"/>
        <w:spacing w:line="360" w:lineRule="auto"/>
        <w:ind w:firstLine="1134"/>
        <w:jc w:val="both"/>
        <w:rPr>
          <w:lang w:val="es-AR" w:eastAsia="es-AR" w:bidi="es-AR"/>
        </w:rPr>
      </w:pPr>
      <w:r>
        <w:rPr>
          <w:lang w:val="es-AR" w:eastAsia="es-AR" w:bidi="es-AR"/>
        </w:rPr>
        <w:t xml:space="preserve">La parte actora  pretende minimizar estas circunstancias empero, si bien cierto es que no inciden en la cadena causal en forma relevante, evidencian estos incumplimientos una imprudencia y negligencia en la conducción de la cosa generadora de riesgos y graves infracciones administrativas que no pueden pasar desapercibidas al colocarse en clara vulneración de la normativa que regula el tránsito vehicular, de lo cual se desprende que esa conducta disvaliosa no puede ser omitida por el derecho o causar indiferencia debiendo soportar una proporción en la responsabilidad. (cfr. Causa 1897/13 de este mismo Tribunal).-</w:t>
      </w:r>
    </w:p>
    <w:p>
      <w:pPr>
        <w:pStyle w:val="[Normal]"/>
        <w:spacing w:line="360" w:lineRule="auto"/>
        <w:ind w:firstLine="1134"/>
        <w:jc w:val="both"/>
        <w:rPr>
          <w:lang w:val="es-AR" w:eastAsia="es-AR" w:bidi="es-AR"/>
        </w:rPr>
      </w:pPr>
      <w:r>
        <w:rPr>
          <w:lang w:val="es-AR" w:eastAsia="es-AR" w:bidi="es-AR"/>
        </w:rPr>
        <w:t xml:space="preserve">"Las reglamentaciones de tránsito no pueden ser soslayadas y deben ser consideradas, junto con otras circunstancias, en oportunidad de calificar la conducta de la víctima o del tercero para determinar si ha ocurrido o no -y en su caso en que extensión- la situación prevista en la parte final del segundo apartado del art.1113 del Cód. Civil. (confr. SCBA LP C 99805 S 11/05/2011; SCBA LP Ac 84867 S 03/03/2004, ent. ots.).-</w:t>
      </w:r>
    </w:p>
    <w:p>
      <w:pPr>
        <w:pStyle w:val="[Normal]"/>
        <w:spacing w:line="360" w:lineRule="auto"/>
        <w:ind w:firstLine="1134"/>
        <w:jc w:val="both"/>
        <w:rPr>
          <w:lang w:val="es-AR" w:eastAsia="es-AR" w:bidi="es-AR"/>
        </w:rPr>
      </w:pPr>
      <w:r>
        <w:rPr>
          <w:lang w:val="es-AR" w:eastAsia="es-AR" w:bidi="es-AR"/>
        </w:rPr>
        <w:t xml:space="preserve">Frente a este cuadro de situación, la tesis recursiva según la cual el mero hecho de que por la maniobra sola del demandado bastaría para desplazar íntegramente la responsabilidad hacia el demandado resulta insostenible. </w:t>
      </w:r>
    </w:p>
    <w:p>
      <w:pPr>
        <w:pStyle w:val="[Normal]"/>
        <w:spacing w:line="360" w:lineRule="auto"/>
        <w:ind w:firstLine="1134"/>
        <w:jc w:val="both"/>
        <w:rPr>
          <w:lang w:val="es-AR" w:eastAsia="es-AR" w:bidi="es-AR"/>
        </w:rPr>
      </w:pPr>
      <w:r>
        <w:rPr>
          <w:lang w:val="es-AR" w:eastAsia="es-AR" w:bidi="es-AR"/>
        </w:rPr>
        <w:t xml:space="preserve">En definitiva, el a quo no desatendió la reglas de tránsito; por el contrario, las ponderó expresamente, pero concluyó -con razonamiento que este Tribunal comparte- que la infracción atribuible al demandado no alcanzaba, en el contexto probatorio de la causa, para desplazar la incidencia causal del obrar del motociclista. El agravio, al limitarse a reeditar la versión argüida en la instancia anterior, sin rebatir de modo concreto y eficaz la valoración conjunta de la prueba y las propias manifestaciones del conductor del motovehículo, no logra evidenciar error de hecho ni de derecho en la sentencia recurrida.</w:t>
      </w:r>
    </w:p>
    <w:p>
      <w:pPr>
        <w:pStyle w:val="[Normal]"/>
        <w:spacing w:line="360" w:lineRule="auto"/>
        <w:ind w:firstLine="1134"/>
        <w:jc w:val="both"/>
        <w:rPr>
          <w:lang w:val="es-AR" w:eastAsia="es-AR" w:bidi="es-AR"/>
        </w:rPr>
      </w:pPr>
      <w:r>
        <w:rPr>
          <w:lang w:val="es-AR" w:eastAsia="es-AR" w:bidi="es-AR"/>
        </w:rPr>
        <w:t xml:space="preserve">Pasando al segundo cuestionamiento, esto es el porcentaje de incapacidad establecido en sentencia, tampoco le asiste razón a la apelante.</w:t>
      </w:r>
    </w:p>
    <w:p>
      <w:pPr>
        <w:pStyle w:val="[Normal]"/>
        <w:spacing w:line="360" w:lineRule="auto"/>
        <w:ind w:firstLine="1134"/>
        <w:jc w:val="both"/>
        <w:rPr>
          <w:lang w:val="es-AR" w:eastAsia="es-AR" w:bidi="es-AR"/>
        </w:rPr>
      </w:pPr>
      <w:r>
        <w:rPr>
          <w:lang w:val="es-AR" w:eastAsia="es-AR" w:bidi="es-AR"/>
        </w:rPr>
        <w:t xml:space="preserve">Conforme lo normado por el art. 474 del CPCC y su doctrina la fuerza probatoria de los dictámenes periciales es de meritación exclusiva del magistrado, quien teniendo en cuenta la competencia de las personas que la efectúan, los principios en que se fundan y la concordancia con las reglas de la sana crítica junto a los demás elementos de convicción que presenta la causa, le adjudicará el valor que estime apropiado.- Su fuerza probatoria sólo puede enervarse por fundadas razones científicas, siendo ilógica la pretensión de contrariarlos recurriendo a la opinión de profanos o sobre la base de meras discrepancias subjetivas (SCBA Ac. y Sent. 1957. V. 30).-</w:t>
      </w:r>
    </w:p>
    <w:p>
      <w:pPr>
        <w:pStyle w:val="[Normal]"/>
        <w:spacing w:line="360" w:lineRule="auto"/>
        <w:ind w:firstLine="1134"/>
        <w:jc w:val="both"/>
        <w:rPr>
          <w:lang w:val="es-AR" w:eastAsia="es-AR" w:bidi="es-AR"/>
        </w:rPr>
      </w:pPr>
      <w:r>
        <w:rPr>
          <w:lang w:val="es-AR" w:eastAsia="es-AR" w:bidi="es-AR"/>
        </w:rPr>
        <w:t xml:space="preserve">Ello así el juez en su sentencia fue claro en cuanto al porcentaje de incapacidad informado por la Carolina Laura Aguilar, Perito Médico Forense de la Asesoría Pericial Departamental, quien dictaminara que respecto a  la  actora "</w:t>
      </w:r>
      <w:r>
        <w:rPr>
          <w:i/>
          <w:lang w:val="es-AR" w:eastAsia="es-AR" w:bidi="es-AR"/>
        </w:rPr>
        <w:t xml:space="preserve">TEVEZ ROMANO PALOMA, las lesiones curaron con secuelas y se comportan una incapacidad equivalente al 42% parcial y permanente fractura de fémur derecho, fractura de fémur izquierdo, fractura de tobillo derecho, rigidez rodilla izquierda, cicatriz en musculo de miembros inferiores</w:t>
      </w:r>
      <w:r>
        <w:rPr>
          <w:lang w:val="es-AR" w:eastAsia="es-AR" w:bidi="es-AR"/>
        </w:rPr>
        <w:t xml:space="preserve">".</w:t>
      </w:r>
    </w:p>
    <w:p>
      <w:pPr>
        <w:pStyle w:val="[Normal]"/>
        <w:spacing w:line="360" w:lineRule="auto"/>
        <w:ind w:firstLine="1134"/>
        <w:jc w:val="both"/>
        <w:rPr>
          <w:i/>
          <w:lang w:val="es-AR" w:eastAsia="es-AR" w:bidi="es-AR"/>
        </w:rPr>
      </w:pPr>
      <w:r>
        <w:rPr>
          <w:lang w:val="es-AR" w:eastAsia="es-AR" w:bidi="es-AR"/>
        </w:rPr>
        <w:t xml:space="preserve">A lo que debo agregar que la mencionada perito,  - y no como pretende hacer ver la apelante-, tuvo en cuenta  los informes y documentos presentados, así señaló " </w:t>
      </w:r>
      <w:r>
        <w:rPr>
          <w:i/>
          <w:lang w:val="es-AR" w:eastAsia="es-AR" w:bidi="es-AR"/>
        </w:rPr>
        <w:t xml:space="preserve">CONSTANCIAS EN AUTOS DE INTERES MEDICO LEGAL.</w:t>
      </w:r>
    </w:p>
    <w:p>
      <w:pPr>
        <w:pStyle w:val="[Normal]"/>
        <w:spacing w:line="360" w:lineRule="auto"/>
        <w:ind w:firstLine="1134"/>
        <w:jc w:val="both"/>
        <w:rPr>
          <w:i/>
          <w:lang w:val="es-AR" w:eastAsia="es-AR" w:bidi="es-AR"/>
        </w:rPr>
      </w:pPr>
      <w:r>
        <w:rPr>
          <w:i/>
          <w:lang w:val="es-AR" w:eastAsia="es-AR" w:bidi="es-AR"/>
        </w:rPr>
        <w:t xml:space="preserve">- Historia Clínica HIGA “San José” de TEVEZ ROMANO PALOMA, por AVP moto/auto con TEC (traumatismo encefalocraneano) con pérdida de conocimiento recuperada y fractura de ambos fémures.</w:t>
      </w:r>
    </w:p>
    <w:p>
      <w:pPr>
        <w:pStyle w:val="[Normal]"/>
        <w:spacing w:line="360" w:lineRule="auto"/>
        <w:ind w:firstLine="1134"/>
        <w:jc w:val="both"/>
        <w:rPr>
          <w:i/>
          <w:lang w:val="es-AR" w:eastAsia="es-AR" w:bidi="es-AR"/>
        </w:rPr>
      </w:pPr>
      <w:r>
        <w:rPr>
          <w:i/>
          <w:lang w:val="es-AR" w:eastAsia="es-AR" w:bidi="es-AR"/>
        </w:rPr>
        <w:t xml:space="preserve">- Historia clínica “Clínica Centro” de TEVEZ ROMANO PALOMA derivada de HIGA San José por fractura bilateral de fémur y fractura de tobillo derecho. Deformidad en ambos muslos con impotencia funcional, deformidad en tobillo, en tracción esquelética.</w:t>
      </w:r>
    </w:p>
    <w:p>
      <w:pPr>
        <w:pStyle w:val="[Normal]"/>
        <w:spacing w:line="360" w:lineRule="auto"/>
        <w:ind w:firstLine="1134"/>
        <w:jc w:val="both"/>
        <w:rPr>
          <w:i/>
          <w:lang w:val="es-AR" w:eastAsia="es-AR" w:bidi="es-AR"/>
        </w:rPr>
      </w:pPr>
      <w:r>
        <w:rPr>
          <w:i/>
          <w:lang w:val="es-AR" w:eastAsia="es-AR" w:bidi="es-AR"/>
        </w:rPr>
        <w:t xml:space="preserve">- Evolución “Clínica Centro” 5.11.2021 “paciente ingresa a quirófano para cirugía programada de osteosíntesis de fractura de fémur izquierdo…se programa cirugía de fémur y tobillo contralateral…”.</w:t>
      </w:r>
    </w:p>
    <w:p>
      <w:pPr>
        <w:pStyle w:val="[Normal]"/>
        <w:spacing w:line="360" w:lineRule="auto"/>
        <w:ind w:firstLine="1134"/>
        <w:jc w:val="both"/>
        <w:rPr>
          <w:i/>
          <w:lang w:val="es-AR" w:eastAsia="es-AR" w:bidi="es-AR"/>
        </w:rPr>
      </w:pPr>
      <w:r>
        <w:rPr>
          <w:i/>
          <w:lang w:val="es-AR" w:eastAsia="es-AR" w:bidi="es-AR"/>
        </w:rPr>
        <w:t xml:space="preserve">- Parte quirúrgico “Clínica Centro” 5.11.2021 “…diagnostico postoperatorio: fractura conminuta de fémur izquierdo. Procedimiento: osteosíntesis con placa y tornillos…” .</w:t>
      </w:r>
    </w:p>
    <w:p>
      <w:pPr>
        <w:pStyle w:val="[Normal]"/>
        <w:spacing w:line="360" w:lineRule="auto"/>
        <w:ind w:firstLine="1134"/>
        <w:jc w:val="both"/>
        <w:rPr>
          <w:i/>
          <w:lang w:val="es-AR" w:eastAsia="es-AR" w:bidi="es-AR"/>
        </w:rPr>
      </w:pPr>
      <w:r>
        <w:rPr>
          <w:i/>
          <w:lang w:val="es-AR" w:eastAsia="es-AR" w:bidi="es-AR"/>
        </w:rPr>
        <w:t xml:space="preserve">- Escanograma marzo 2022 acortamiento femoral 22mm izquierdo, acortamiento tibial 8,2mm derecho. Total femoral y tibial 17.9mm izquierdo.</w:t>
      </w:r>
    </w:p>
    <w:p>
      <w:pPr>
        <w:pStyle w:val="[Normal]"/>
        <w:spacing w:line="360" w:lineRule="auto"/>
        <w:ind w:firstLine="1134"/>
        <w:jc w:val="both"/>
        <w:rPr>
          <w:i/>
          <w:lang w:val="es-AR" w:eastAsia="es-AR" w:bidi="es-AR"/>
        </w:rPr>
      </w:pPr>
      <w:r>
        <w:rPr>
          <w:i/>
          <w:lang w:val="es-AR" w:eastAsia="es-AR" w:bidi="es-AR"/>
        </w:rPr>
        <w:t xml:space="preserve">- Certificado de discapacidad</w:t>
      </w:r>
    </w:p>
    <w:p>
      <w:pPr>
        <w:pStyle w:val="[Normal]"/>
        <w:spacing w:line="360" w:lineRule="auto"/>
        <w:ind w:firstLine="1134"/>
        <w:jc w:val="both"/>
        <w:rPr>
          <w:i/>
          <w:lang w:val="es-AR" w:eastAsia="es-AR" w:bidi="es-AR"/>
        </w:rPr>
      </w:pPr>
      <w:r>
        <w:rPr>
          <w:i/>
          <w:lang w:val="es-AR" w:eastAsia="es-AR" w:bidi="es-AR"/>
        </w:rPr>
        <w:t xml:space="preserve">- Certificado médico 7.12.2021 “…infección en herida de muslo izquierdo, por la que se realizo toilette…”</w:t>
      </w:r>
    </w:p>
    <w:p>
      <w:pPr>
        <w:pStyle w:val="[Normal]"/>
        <w:spacing w:line="360" w:lineRule="auto"/>
        <w:ind w:firstLine="1134"/>
        <w:jc w:val="both"/>
        <w:rPr>
          <w:i/>
          <w:lang w:val="es-AR" w:eastAsia="es-AR" w:bidi="es-AR"/>
        </w:rPr>
      </w:pPr>
      <w:r>
        <w:rPr>
          <w:i/>
          <w:lang w:val="es-AR" w:eastAsia="es-AR" w:bidi="es-AR"/>
        </w:rPr>
        <w:t xml:space="preserve">- Certificado médico 14.12.2021 “…infección herida quirúrgica”.</w:t>
      </w:r>
    </w:p>
    <w:p>
      <w:pPr>
        <w:pStyle w:val="[Normal]"/>
        <w:spacing w:line="360" w:lineRule="auto"/>
        <w:ind w:firstLine="1134"/>
        <w:jc w:val="both"/>
        <w:rPr>
          <w:i/>
          <w:lang w:val="es-AR" w:eastAsia="es-AR" w:bidi="es-AR"/>
        </w:rPr>
      </w:pPr>
      <w:r>
        <w:rPr>
          <w:i/>
          <w:lang w:val="es-AR" w:eastAsia="es-AR" w:bidi="es-AR"/>
        </w:rPr>
        <w:t xml:space="preserve">- Certificado médico 06.07.2022 “…infección, osteomielitis fémur izquierdo”.</w:t>
      </w:r>
    </w:p>
    <w:p>
      <w:pPr>
        <w:pStyle w:val="[Normal]"/>
        <w:spacing w:line="360" w:lineRule="auto"/>
        <w:ind w:firstLine="1134"/>
        <w:jc w:val="both"/>
        <w:rPr>
          <w:i/>
          <w:lang w:val="es-AR" w:eastAsia="es-AR" w:bidi="es-AR"/>
        </w:rPr>
      </w:pPr>
      <w:r>
        <w:rPr>
          <w:i/>
          <w:lang w:val="es-AR" w:eastAsia="es-AR" w:bidi="es-AR"/>
        </w:rPr>
        <w:t xml:space="preserve">- Certificado médico 13.10.2022 “Stafilococo Aureus sensible a ciprofloxacina y Rifampicina por lo que se indica tratamiento por 6 meses” “…actualmente con tutores externos en ambos fémures”.</w:t>
      </w:r>
    </w:p>
    <w:p>
      <w:pPr>
        <w:pStyle w:val="[Normal]"/>
        <w:spacing w:line="360" w:lineRule="auto"/>
        <w:ind w:firstLine="1134"/>
        <w:jc w:val="both"/>
        <w:rPr>
          <w:lang w:val="es-AR" w:eastAsia="es-AR" w:bidi="es-AR"/>
        </w:rPr>
      </w:pPr>
      <w:r>
        <w:rPr>
          <w:i/>
          <w:lang w:val="es-AR" w:eastAsia="es-AR" w:bidi="es-AR"/>
        </w:rPr>
        <w:t xml:space="preserve">- Certificado médico 09.03.2023 Dr. Escobar “osteomielitis con triple plan ATB</w:t>
      </w:r>
      <w:r>
        <w:rPr>
          <w:lang w:val="es-AR" w:eastAsia="es-AR" w:bidi="es-AR"/>
        </w:rPr>
        <w:t xml:space="preserve">…”.</w:t>
      </w:r>
    </w:p>
    <w:p>
      <w:pPr>
        <w:pStyle w:val="[Normal]"/>
        <w:spacing w:line="360" w:lineRule="auto"/>
        <w:ind w:firstLine="1134"/>
        <w:jc w:val="both"/>
        <w:rPr>
          <w:i/>
          <w:lang w:val="es-AR" w:eastAsia="es-AR" w:bidi="es-AR"/>
        </w:rPr>
      </w:pPr>
      <w:r>
        <w:rPr>
          <w:lang w:val="es-AR" w:eastAsia="es-AR" w:bidi="es-AR"/>
        </w:rPr>
        <w:t xml:space="preserve">-</w:t>
      </w:r>
      <w:r>
        <w:rPr>
          <w:i/>
          <w:lang w:val="es-AR" w:eastAsia="es-AR" w:bidi="es-AR"/>
        </w:rPr>
        <w:t xml:space="preserve"> Ecografía de partes blandas de muslo izquierdo 29.03.2022 “…voluminosa colección heterogénea, particulada, de 44x28mm, de bordes netos, que impresiona tener conexión hacia la estructura ósea…”.</w:t>
      </w:r>
    </w:p>
    <w:p>
      <w:pPr>
        <w:pStyle w:val="[Normal]"/>
        <w:spacing w:line="360" w:lineRule="auto"/>
        <w:ind w:firstLine="1134"/>
        <w:jc w:val="both"/>
        <w:rPr>
          <w:i/>
          <w:lang w:val="es-AR" w:eastAsia="es-AR" w:bidi="es-AR"/>
        </w:rPr>
      </w:pPr>
      <w:r>
        <w:rPr>
          <w:i/>
          <w:lang w:val="es-AR" w:eastAsia="es-AR" w:bidi="es-AR"/>
        </w:rPr>
        <w:t xml:space="preserve">- Ecografía de partes blandas de cadera izquierda 17.05.2023 “…aparente trayecto fistuloso de 8,7mm en su diámetro anteroposterior. Sin evidencia de colección…” .</w:t>
      </w:r>
    </w:p>
    <w:p>
      <w:pPr>
        <w:pStyle w:val="[Normal]"/>
        <w:spacing w:line="360" w:lineRule="auto"/>
        <w:ind w:firstLine="1134"/>
        <w:jc w:val="both"/>
        <w:rPr>
          <w:lang w:val="es-AR" w:eastAsia="es-AR" w:bidi="es-AR"/>
        </w:rPr>
      </w:pPr>
      <w:r>
        <w:rPr>
          <w:i/>
          <w:lang w:val="es-AR" w:eastAsia="es-AR" w:bidi="es-AR"/>
        </w:rPr>
        <w:t xml:space="preserve">- Radiografía 16.03.2022 de ambos fémures “se visualiza clavo placa en fémur izquierdo estabilizando fractura con signos de reparación ósea. Angulación de la placa en su porción media (en valgo) que estabiliza fractura en fémur derecho”. Rx tobillo derecho “clavo placa estabilizando fractura en peroné distal. Fragmentos óseos. Elementos de fijación en ambos maléolos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Asimismo, su dictamen se baso no solo en ello sino también en el examen físico extensivo de la peritada, con "inspección, palpación y movilidad", como así las consideraciones médico legales, constatando que : </w:t>
      </w:r>
      <w:r>
        <w:rPr>
          <w:i/>
          <w:lang w:val="es-AR" w:eastAsia="es-AR" w:bidi="es-AR"/>
        </w:rPr>
        <w:t xml:space="preserve">"Las fracturas óseas representan la rotura del hueso con afectación de los tejidos blandos circundantes (músculos, arterias, venas, nervios, vasos linfáticos, etc.). Requirió para su curación la inmovilización de ambos miembros inferiores con fractura de fémur derecho e izquierdo, con colocación de tutores externos y material de osteosíntesis, reintervenida en varias oportunidades; fractura de tobillo derecho, con colocación de elementos de osteosíntesis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En el pedido de explicaciones, también fue contundente la respuesta dada por la experta, en tanto allí aclaró que "</w:t>
      </w:r>
      <w:r>
        <w:rPr>
          <w:i/>
          <w:lang w:val="es-AR" w:eastAsia="es-AR" w:bidi="es-AR"/>
        </w:rPr>
        <w:t xml:space="preserve">La capacidad laboral y psicológica es materia de otro perito. Esta perito se expide sobre el momento actual. No se puede inferir en futuros eventos. Su seguimiento quedará a criterio del médico tratante. Las eventuales medidas terapéuticas que podrían indicarse deberán ser formuladas por el experto que asista al actor. Esta perito basa su actividad en el análisis de las CONSTANCIAS EN AUTOS DE INTERÉS MEDICO LEGAL, EXAMEN MEDICO PERICIAL y CONSIDERACIONES MEDICO LEGALES, y el interrogatorio correspondiente al caso de autos. El dictamen pericial versa sobre estado del examinado al momento del examen médico. Las constancias medicas las presentan las partes en el acto de apertura a prueba</w:t>
      </w:r>
      <w:r>
        <w:rPr>
          <w:lang w:val="es-AR" w:eastAsia="es-AR" w:bidi="es-AR"/>
        </w:rPr>
        <w:t xml:space="preserve">.(presentación electrónica del 22/5/2025).</w:t>
      </w:r>
    </w:p>
    <w:p>
      <w:pPr>
        <w:pStyle w:val="[Normal]"/>
        <w:spacing w:line="360" w:lineRule="auto"/>
        <w:ind w:firstLine="1134"/>
        <w:jc w:val="both"/>
        <w:rPr>
          <w:lang w:val="es-AR" w:eastAsia="es-AR" w:bidi="es-AR"/>
        </w:rPr>
      </w:pPr>
      <w:r>
        <w:rPr>
          <w:lang w:val="es-AR" w:eastAsia="es-AR" w:bidi="es-AR"/>
        </w:rPr>
        <w:t xml:space="preserve">Es decir que no fue un examen superficial y carente de sustento científico y fáctico, a lo que  debo recordar que  conforme lo normado por el art. 474 del CPCC y su doctrina la fuerza probatoria de los dictámenes periciales es de merituación exclusiva del magistrado, quien teniendo en cuenta la competencia de las personas que la efectúan, los principios en que se fundan y la concordancia con las reglas de la sana crítica junto a los demás elementos de convicción que presenta la causa, le adjudicará el valor que estime apropiado. Su fuerza probatoria sólo puede enervarse por fundadas razones científicas, siendo ilógica la pretensión de contrariarlos recurriendo a la opinión de profanos o sobre la base de meras discrepancias subjetivas (SCBA Ac. y Sent. 1957. V. 30).</w:t>
      </w:r>
    </w:p>
    <w:p>
      <w:pPr>
        <w:pStyle w:val="[Normal]"/>
        <w:spacing w:line="360" w:lineRule="auto"/>
        <w:ind w:firstLine="1134"/>
        <w:jc w:val="both"/>
        <w:rPr>
          <w:lang w:val="es-AR" w:eastAsia="es-AR" w:bidi="es-AR"/>
        </w:rPr>
      </w:pPr>
      <w:r>
        <w:rPr>
          <w:lang w:val="es-AR" w:eastAsia="es-AR" w:bidi="es-AR"/>
        </w:rPr>
        <w:t xml:space="preserve">Y, no existe otra valoración pericial, sino que lo que refiere la recurrente es acerca de informes o estudios médicos, que como bien señalé fueron tenidos presentes por la medica oficial, y a lo que debo agregar que no es cierto que el juez no tuviera en cuenta las observaciones formuladas por la parte en su oportunidad, sino que expresamente las rechazó en tanto el dictamen pericial llevado a cano en autos, no resulta científicamente apoyado en otra prueba de semejante o igual entidad  a la llevada a cabo.</w:t>
      </w:r>
    </w:p>
    <w:p>
      <w:pPr>
        <w:pStyle w:val="[Normal]"/>
        <w:spacing w:line="360" w:lineRule="auto"/>
        <w:ind w:firstLine="1134"/>
        <w:jc w:val="both"/>
        <w:rPr>
          <w:lang w:val="es-AR" w:eastAsia="es-AR" w:bidi="es-AR"/>
        </w:rPr>
      </w:pPr>
      <w:r>
        <w:rPr>
          <w:lang w:val="es-AR" w:eastAsia="es-AR" w:bidi="es-AR"/>
        </w:rPr>
        <w:t xml:space="preserve">De modo que la valoración de los elementos probatorios obrantes  en la causa efectuada por el juzgador primero de conformidad a las reglas de la sana crítica (art. 384 del CPCC)  que condujo a la solución puesta en crisis, no se ven conmovidos por la críticas efectuadas por la apelante, compartiendo esta Alzada el criterio expuesto por el juzgador primero sobre el tema.</w:t>
      </w:r>
    </w:p>
    <w:p>
      <w:pPr>
        <w:pStyle w:val="[Normal]"/>
        <w:spacing w:line="360" w:lineRule="auto"/>
        <w:ind w:firstLine="1134"/>
        <w:jc w:val="both"/>
        <w:rPr>
          <w:lang w:val="es-AR" w:eastAsia="es-AR" w:bidi="es-AR"/>
        </w:rPr>
      </w:pPr>
      <w:r>
        <w:rPr>
          <w:lang w:val="es-AR" w:eastAsia="es-AR" w:bidi="es-AR"/>
        </w:rPr>
        <w:t xml:space="preserve">Ahora bien, en cuanto al cálculo de la indemnización correspondiente al rubro “incapacidad permanente”, entiendo que, resulta acertado el valor de ingresos adoptado.-</w:t>
      </w:r>
    </w:p>
    <w:p>
      <w:pPr>
        <w:pStyle w:val="[Normal]"/>
        <w:spacing w:line="360" w:lineRule="auto"/>
        <w:ind w:firstLine="1134"/>
        <w:jc w:val="both"/>
        <w:rPr>
          <w:lang w:val="es-AR" w:eastAsia="es-AR" w:bidi="es-AR"/>
        </w:rPr>
      </w:pPr>
      <w:r>
        <w:rPr>
          <w:lang w:val="es-AR" w:eastAsia="es-AR" w:bidi="es-AR"/>
        </w:rPr>
        <w:t xml:space="preserve">Reiteradamente se ha señalado desde aquí que el daño material por incapacidad se evalúa en cada caso concreto, para lo cual deben tenerse en cuenta las circunstancias particulares de la persona del damnificado, como así su repercusión en la vida de relación y laboral.</w:t>
      </w:r>
    </w:p>
    <w:p>
      <w:pPr>
        <w:pStyle w:val="[Normal]"/>
        <w:spacing w:line="360" w:lineRule="auto"/>
        <w:ind w:firstLine="1134"/>
        <w:jc w:val="both"/>
        <w:rPr>
          <w:color w:val="000000"/>
          <w:lang w:val="es-AR" w:eastAsia="es-AR" w:bidi="es-AR"/>
        </w:rPr>
      </w:pPr>
      <w:r>
        <w:rPr>
          <w:color w:val="000000"/>
          <w:lang w:val="es-AR" w:eastAsia="es-AR" w:bidi="es-AR"/>
        </w:rPr>
        <w:t xml:space="preserve">En el caso concreto, no se ha acreditado la base fáctica en virtud de la cual se presume una variación ascendente de los ingresos futuros de la damnificada, dado que en ningún momento funda tal modificación futura del ingreso estimado de la actora en elementos objetivos que surjan del material probatorio producido en la causa, ni tampoco advierto en esta instancia prueba concreta que así lo indique.</w:t>
      </w:r>
    </w:p>
    <w:p>
      <w:pPr>
        <w:pStyle w:val="[Normal]"/>
        <w:spacing w:line="360" w:lineRule="auto"/>
        <w:ind w:firstLine="1134"/>
        <w:jc w:val="both"/>
        <w:rPr>
          <w:color w:val="000000"/>
          <w:lang w:val="es-AR" w:eastAsia="es-AR" w:bidi="es-AR"/>
        </w:rPr>
      </w:pPr>
      <w:r>
        <w:rPr>
          <w:color w:val="000000"/>
          <w:lang w:val="es-AR" w:eastAsia="es-AR" w:bidi="es-AR"/>
        </w:rPr>
        <w:t xml:space="preserve">Cabe recordar, en este sentido, que las fórmulas actuariales o baremos constituyen instrumentos que orientan a las partes y a los magistrados para esclarecer la existencia y entidad de la incapacidad laborativa genérica que una persona puede experimentar; pero sus resultados deben necesariamente ser conjugados con otros elementos que brinda la realidad del caso concreto, de persona, tiempo y lugar, para la determinación de la incapacidad específica de la víctima.  Dicho de otro modo, la fórmula no sustituye las concretas cargas probatorias que pesan sobre las partes respecto a los extremos en que se fundan sus pretensiones o defensas.</w:t>
      </w:r>
    </w:p>
    <w:p>
      <w:pPr>
        <w:pStyle w:val="[Normal]"/>
        <w:spacing w:line="360" w:lineRule="auto"/>
        <w:ind w:firstLine="1134"/>
        <w:jc w:val="both"/>
        <w:rPr>
          <w:color w:val="000000"/>
          <w:lang w:val="es-AR" w:eastAsia="es-AR" w:bidi="es-AR"/>
        </w:rPr>
      </w:pPr>
      <w:r>
        <w:rPr>
          <w:i/>
          <w:color w:val="000000"/>
          <w:lang w:val="es-AR" w:eastAsia="es-AR" w:bidi="es-AR"/>
        </w:rPr>
        <w:t xml:space="preserve">"Aún cuando pueda no ser exigible la acreditación exacta de la utilidad dejada de percibir, resulta al menos necesario que se justifique la labor lucrativa frustrada, lo que se ganaba, las mermas sufridas, el tiempo transcurrido, etc. ya que de admitirse sin esos datos, se estaría otorgando indemnización por simples conjeturas o abstracciones y satisfaciendo un daño hipotético (arts.375 y 384 del Código Procesal)".</w:t>
      </w:r>
      <w:r>
        <w:rPr>
          <w:color w:val="000000"/>
          <w:lang w:val="es-AR" w:eastAsia="es-AR" w:bidi="es-AR"/>
        </w:rPr>
        <w:t xml:space="preserve">(SCBA, </w:t>
      </w:r>
      <w:r>
        <w:rPr>
          <w:i/>
          <w:color w:val="000000"/>
          <w:lang w:val="es-AR" w:eastAsia="es-AR" w:bidi="es-AR"/>
        </w:rPr>
        <w:t xml:space="preserve">"Rivero, Benjamín Domingo c/ Monardez, Jorge Luis y Otro/a s/ Daños y Perjuicios", </w:t>
      </w:r>
      <w:r>
        <w:rPr>
          <w:color w:val="000000"/>
          <w:lang w:val="es-AR" w:eastAsia="es-AR" w:bidi="es-AR"/>
        </w:rPr>
        <w:t xml:space="preserve">21/03/2017).</w:t>
      </w:r>
    </w:p>
    <w:p>
      <w:pPr>
        <w:pStyle w:val="[Normal]"/>
        <w:spacing w:line="360" w:lineRule="auto"/>
        <w:ind w:firstLine="1134"/>
        <w:jc w:val="both"/>
        <w:rPr>
          <w:lang w:val="es-AR" w:eastAsia="es-AR" w:bidi="es-AR"/>
        </w:rPr>
      </w:pPr>
      <w:r>
        <w:rPr>
          <w:i/>
          <w:lang w:val="es-AR" w:eastAsia="es-AR" w:bidi="es-AR"/>
        </w:rPr>
        <w:t xml:space="preserve">Es que, "El principio de razonabilidad –o también denominado interdicción de la arbitrariedad- constituye una exigencia imperativa e inexcusable del fundamento adicional de la razón para toda decisión en la que el poder se exprese. El Estado de Derecho –propio de la forma republicana de gobierno (art. 1 de la CN.NC.)- únicamente acepta como poder legítimo a aquel que en su ejercicio concreto se presenta como el resultado de una voluntad racional, apoyado en razones justificativas"</w:t>
      </w:r>
      <w:r>
        <w:rPr>
          <w:lang w:val="es-AR" w:eastAsia="es-AR" w:bidi="es-AR"/>
        </w:rPr>
        <w:t xml:space="preserve">.  En este sentido, el autor reconoce como supuesto típico de actuación o sentencia arbitraria aquella que no exprese los fundamentos de hecho y de derecho que sustentan la decisión adoptada. (Cf. GARCIA DE ENTERRÍA, Eduardo, FERNANDEZ, Tomás Ramón, Curso de Derecho Administrativo I, (Madrid, 2006), Thomson Civitas, pag. 461).</w:t>
      </w:r>
    </w:p>
    <w:p>
      <w:pPr>
        <w:pStyle w:val="[Normal]"/>
        <w:spacing w:line="360" w:lineRule="auto"/>
        <w:ind w:firstLine="1134"/>
        <w:jc w:val="both"/>
        <w:rPr>
          <w:i/>
          <w:lang w:val="es-AR" w:eastAsia="es-AR" w:bidi="es-AR"/>
        </w:rPr>
      </w:pPr>
      <w:r>
        <w:rPr>
          <w:lang w:val="es-AR" w:eastAsia="es-AR" w:bidi="es-AR"/>
        </w:rPr>
        <w:t xml:space="preserve">Ello así, y teniendo en cuenta la edad, inexistencia de ingresos corroborados, e informe pericial médico, entiendo que el monto otorgado en primera instancia resulta adecuado, razón por la cual  propongo al acuerdo su confirmación.-</w:t>
      </w:r>
    </w:p>
    <w:p>
      <w:pPr>
        <w:pStyle w:val="[Normal]"/>
        <w:spacing w:line="360" w:lineRule="auto"/>
        <w:ind w:firstLine="1134"/>
        <w:jc w:val="both"/>
        <w:rPr>
          <w:lang w:val="es-AR" w:eastAsia="es-AR" w:bidi="es-AR"/>
        </w:rPr>
      </w:pPr>
      <w:r>
        <w:rPr>
          <w:lang w:val="es-AR" w:eastAsia="es-AR" w:bidi="es-AR"/>
        </w:rPr>
        <w:t xml:space="preserve">Respecto del daño moral se agravia la actora del monto fijado por considerarlo exiguo, sosteniendo que el magistrado de grado habría ponderado de manera parcial las constancias de la causa, limitando su análisis al período de inmovilización de la víctima y omitiendo valorar adecuadamente las secuelas psicológicas, las intervenciones quirúrgicas, las cicatrices y el impacto integral del hecho dañoso en su vida de relación.</w:t>
      </w:r>
    </w:p>
    <w:p>
      <w:pPr>
        <w:pStyle w:val="[Normal]"/>
        <w:spacing w:line="360" w:lineRule="auto"/>
        <w:ind w:firstLine="1134"/>
        <w:jc w:val="both"/>
        <w:rPr>
          <w:lang w:val="es-AR" w:eastAsia="es-AR" w:bidi="es-AR"/>
        </w:rPr>
      </w:pPr>
      <w:r>
        <w:rPr>
          <w:lang w:val="es-AR" w:eastAsia="es-AR" w:bidi="es-AR"/>
        </w:rPr>
        <w:t xml:space="preserve">En primer lugar, debo resaltar que la determinación y cuantificación del daño moral constituye una materia deferida al prudente arbitrio judicial, no sujeta a pautas rígidas, en tanto se trata de traducir a un equivalente dinerario un menoscabo de naturaleza extrapatrimonial, cuya medición exacta resulta imposible. En tal sentido, la revisión por parte de este Tribunal solo procede cuando el monto fijado resulte manifiestamente irrazonable, desproporcionado o carente de fundamentación suficiente, extremos que no se verifican en el caso (Arts. 1740, 1741 CCyC).-</w:t>
      </w:r>
    </w:p>
    <w:p>
      <w:pPr>
        <w:pStyle w:val="[Normal]"/>
        <w:spacing w:line="360" w:lineRule="auto"/>
        <w:ind w:firstLine="1134"/>
        <w:jc w:val="both"/>
        <w:rPr>
          <w:lang w:val="es-AR" w:eastAsia="es-AR" w:bidi="es-AR"/>
        </w:rPr>
      </w:pPr>
      <w:r>
        <w:rPr>
          <w:lang w:val="es-AR" w:eastAsia="es-AR" w:bidi="es-AR"/>
        </w:rPr>
        <w:t xml:space="preserve">La Cámara de Apelación en lo Civil y Comercial de San Nicolás ha entendido que </w:t>
      </w:r>
      <w:r>
        <w:rPr>
          <w:i/>
          <w:lang w:val="es-AR" w:eastAsia="es-AR" w:bidi="es-AR"/>
        </w:rPr>
        <w:t xml:space="preserve">"La valoración del detrimento del daño moral no se encuentra sujeta a cánones estrictos, sino que corresponde a los jueces de la causa establecer en forma prudente el quantum indemnizatorio, tomando como base la gravitación de la lesión sufrida y el hecho generador de la responsabilidad, su función resarcitoria y el principio de reparación integral; tal valoración está sujeta a la apreciación prudencial de los jueces (art. 165 del C.P.C. y C.), ello en atención a que son obvias las dificultades que existen para mensurar en dinero un detrimento de naturaleza no patrimonial, razón por la que ha de tratarse de que atienda apropiadamente a la magnitud del menoscabo espiritual.  Siendo ello así, la reparación del daño moral debe ser determinada ponderando esencialmente la índole de los sufrimientos de quien los padece y no mediante una proporción que los vincule con los daños cuya indemnización se reclama"</w:t>
      </w:r>
      <w:r>
        <w:rPr>
          <w:lang w:val="es-AR" w:eastAsia="es-AR" w:bidi="es-AR"/>
        </w:rPr>
        <w:t xml:space="preserve"> (CC0100 SN 8512, Carátula: Rizzotto, Luis Alberto y Otro c/ Miño, Angel Amavelio y Otros s/ Daños y Perjuicios S 20/12/2011).-</w:t>
      </w:r>
    </w:p>
    <w:p>
      <w:pPr>
        <w:pStyle w:val="[Normal]"/>
        <w:spacing w:line="360" w:lineRule="auto"/>
        <w:ind w:firstLine="1134"/>
        <w:jc w:val="both"/>
        <w:rPr>
          <w:lang w:val="es-AR" w:eastAsia="es-AR" w:bidi="es-AR"/>
        </w:rPr>
      </w:pPr>
      <w:r>
        <w:rPr>
          <w:lang w:val="es-AR" w:eastAsia="es-AR" w:bidi="es-AR"/>
        </w:rPr>
        <w:t xml:space="preserve">De la lectura de la sentencia apelada se advierte que el juez de grado no ha incurrido en la omisión que se le endilga. Por el contrario, al tener por configurado el daño moral, ponderó expresamente las lesiones sufridas por la actora, los dolores y padecimientos experimentados, las intervenciones quirúrgicas y tratamientos de rehabilitación, las cicatrices resultantes y la repercusión de las secuelas en su estado anímico y en su vida social y recreativa. Tales circunstancias, lejos de haber sido ignoradas, integraron el cuadro valorativo que condujo a la fijación del resarcimiento.</w:t>
      </w:r>
    </w:p>
    <w:p>
      <w:pPr>
        <w:pStyle w:val="[Normal]"/>
        <w:spacing w:line="360" w:lineRule="auto"/>
        <w:ind w:firstLine="1134"/>
        <w:jc w:val="both"/>
        <w:rPr>
          <w:lang w:val="es-AR" w:eastAsia="es-AR" w:bidi="es-AR"/>
        </w:rPr>
      </w:pPr>
      <w:r>
        <w:rPr>
          <w:lang w:val="es-AR" w:eastAsia="es-AR" w:bidi="es-AR"/>
        </w:rPr>
        <w:t xml:space="preserve">En cuanto a las secuelas psicológicas invocadas por la recurrente, corresponde señalar que las mismas han sido objeto de tratamiento específico en la sentencia, mediante el reconocimiento autónomo del rubro “daño psicológico”, sustentado en la pericia producida en autos. En este contexto, no resulta atendible pretender una nueva ponderación de tales extremos dentro del daño moral en términos que conduzcan, en definitiva, a una superposición indemnizatoria por idénticas consecuencias dañosas.</w:t>
      </w:r>
    </w:p>
    <w:p>
      <w:pPr>
        <w:pStyle w:val="[Normal]"/>
        <w:spacing w:line="360" w:lineRule="auto"/>
        <w:ind w:firstLine="1134"/>
        <w:jc w:val="both"/>
        <w:rPr>
          <w:lang w:val="es-AR" w:eastAsia="es-AR" w:bidi="es-AR"/>
        </w:rPr>
      </w:pPr>
      <w:r>
        <w:rPr>
          <w:lang w:val="es-AR" w:eastAsia="es-AR" w:bidi="es-AR"/>
        </w:rPr>
        <w:t xml:space="preserve">Análoga consideración cabe efectuar respecto del denominado daño estético. El a quo descartó su tratamiento autónomo (criterio que no ha sido eficazmente controvertido), pero dejó expresamente establecido que las secuelas físicas visibles serían valoradas al cuantificar el daño moral, lo que efectivamente hizo. De allí que tampoco en este aspecto se advierta la alegada falta de consideración.</w:t>
      </w:r>
    </w:p>
    <w:p>
      <w:pPr>
        <w:pStyle w:val="[Normal]"/>
        <w:spacing w:line="360" w:lineRule="auto"/>
        <w:ind w:firstLine="1134"/>
        <w:jc w:val="both"/>
        <w:rPr>
          <w:lang w:val="es-AR" w:eastAsia="es-AR" w:bidi="es-AR"/>
        </w:rPr>
      </w:pPr>
      <w:r>
        <w:rPr>
          <w:lang w:val="es-AR" w:eastAsia="es-AR" w:bidi="es-AR"/>
        </w:rPr>
        <w:t xml:space="preserve">Por lo demás, el criterio adoptado para la fijación del monto (basado en las denominadas “satisfacciones sustitutivas y compensatorias”), aun cuando pueda no coincidir con la expectativa de la apelante, constituye una pauta válida y reconocida por la normativa vigente, y ha sido aplicada en forma razonada, tomando en cuenta las particularidades del caso.</w:t>
      </w:r>
    </w:p>
    <w:p>
      <w:pPr>
        <w:pStyle w:val="[Normal]"/>
        <w:spacing w:line="360" w:lineRule="auto"/>
        <w:ind w:firstLine="1134"/>
        <w:jc w:val="both"/>
        <w:rPr>
          <w:lang w:val="es-AR" w:eastAsia="es-AR" w:bidi="es-AR"/>
        </w:rPr>
      </w:pPr>
      <w:r>
        <w:rPr>
          <w:lang w:val="es-AR" w:eastAsia="es-AR" w:bidi="es-AR"/>
        </w:rPr>
        <w:t xml:space="preserve">En definitiva, los agravios de la recurrente se limitan a expresar su disconformidad con el monto fijado y a proponer una distinta valoración de las circunstancias ya consideradas en la sentencia, sin demostrar la existencia de un error de juzgamiento, omisión relevante o desproporción manifiesta que justifique revocar lo allí decidido.-</w:t>
      </w:r>
    </w:p>
    <w:p>
      <w:pPr>
        <w:pStyle w:val="[Normal]"/>
        <w:spacing w:line="360" w:lineRule="auto"/>
        <w:ind w:firstLine="1134"/>
        <w:jc w:val="both"/>
        <w:rPr>
          <w:lang w:val="es-AR" w:eastAsia="es-AR" w:bidi="es-AR"/>
        </w:rPr>
      </w:pPr>
      <w:r>
        <w:rPr>
          <w:lang w:val="es-AR" w:eastAsia="es-AR" w:bidi="es-AR"/>
        </w:rPr>
        <w:t xml:space="preserve">Por ello, no advirtiéndose que la suma reconocida resulte irrisoria en relación con las constancias de la causa y las pautas legales aplicables, propongo al Acuerdo confirmar la indemnización de treinta millones ($30.000.000) fijada en concepto de daño moral en favor de Paloma Téves Romano.-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consecuencia confirmar el fallo apelado.-</w:t>
      </w:r>
    </w:p>
    <w:p>
      <w:pPr>
        <w:pStyle w:val="[Normal]"/>
        <w:spacing w:line="360" w:lineRule="auto"/>
        <w:ind w:firstLine="1134"/>
        <w:jc w:val="both"/>
        <w:rPr>
          <w:lang w:val="es-AR" w:eastAsia="es-AR" w:bidi="es-AR"/>
        </w:rPr>
      </w:pPr>
      <w:r>
        <w:rPr>
          <w:lang w:val="es-AR" w:eastAsia="es-AR" w:bidi="es-AR"/>
        </w:rPr>
        <w:t xml:space="preserve">Imponer costas de Alzada a la actora que resulta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consecuencia confirmar el fallo apelado.-</w:t>
      </w:r>
    </w:p>
    <w:p>
      <w:pPr>
        <w:pStyle w:val="[Normal]"/>
        <w:spacing w:line="360" w:lineRule="auto"/>
        <w:ind w:firstLine="1134"/>
        <w:jc w:val="both"/>
        <w:rPr>
          <w:lang w:val="es-AR" w:eastAsia="es-AR" w:bidi="es-AR"/>
        </w:rPr>
      </w:pPr>
      <w:r>
        <w:rPr>
          <w:lang w:val="es-AR" w:eastAsia="es-AR" w:bidi="es-AR"/>
        </w:rPr>
        <w:t xml:space="preserve">Imponer costas de Alzada a la actora que resulta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30/04/2026 09:58:27 -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30/04/2026 10:25:38 -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30/04/2026 10:32:19 -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‰8`")è&amp;vCF.Š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246402090006863538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30/04/2026 10:32:40 hs. bajo el número RS-68-2026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