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b/>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2212-14</w:t>
      </w:r>
      <w:r>
        <w:rPr>
          <w:lang w:val="es-AR" w:eastAsia="es-AR" w:bidi="es-AR"/>
        </w:rPr>
        <w:t xml:space="preserve"> caratulados </w:t>
      </w:r>
      <w:r>
        <w:rPr>
          <w:b/>
          <w:lang w:val="es-AR" w:eastAsia="es-AR" w:bidi="es-AR"/>
        </w:rPr>
        <w:t xml:space="preserve">"</w:t>
      </w:r>
      <w:r>
        <w:rPr>
          <w:b/>
          <w:color w:val="000000"/>
          <w:lang w:val="es-AR" w:eastAsia="es-AR" w:bidi="es-AR"/>
        </w:rPr>
        <w:t xml:space="preserve">ESTEBAN MARIA DE LA PAZ S/ SUCESION TESTAMENTARIA</w:t>
      </w:r>
      <w:r>
        <w:rPr>
          <w:b/>
          <w:lang w:val="es-AR" w:eastAsia="es-AR" w:bidi="es-AR"/>
        </w:rPr>
        <w:t xml:space="preserve">",</w:t>
      </w:r>
      <w:r>
        <w:rPr>
          <w:lang w:val="es-AR" w:eastAsia="es-AR" w:bidi="es-AR"/>
        </w:rPr>
        <w:t xml:space="preserve"> Expte. N° </w:t>
      </w:r>
      <w:r>
        <w:rPr>
          <w:color w:val="000000"/>
          <w:lang w:val="es-AR" w:eastAsia="es-AR" w:bidi="es-AR"/>
        </w:rPr>
        <w:t xml:space="preserve">-63266-</w:t>
      </w:r>
      <w:r>
        <w:rPr>
          <w:lang w:val="es-AR" w:eastAsia="es-AR" w:bidi="es-AR"/>
        </w:rPr>
        <w:t xml:space="preserve"> del Juzgado en lo Civil y Comercial N° 1, encontrándose el Dr. Roberto Degleue excusado en fecha 23-10-2014, se ordenó la integración de este Tribunal y se practicó el sorteo de ley que determinó que la votación debía efectuarse en el siguiente orden: Graciela Scaraffia y</w:t>
      </w:r>
      <w:r>
        <w:rPr>
          <w:b/>
          <w:lang w:val="es-AR" w:eastAsia="es-AR" w:bidi="es-AR"/>
        </w:rPr>
        <w:t xml:space="preserve"> </w:t>
      </w:r>
      <w:r>
        <w:rPr>
          <w:lang w:val="es-AR" w:eastAsia="es-AR" w:bidi="es-AR"/>
        </w:rPr>
        <w:t xml:space="preserve">Denise Scaglia estudiados los autos se resolvió plantear y votar las siguientes: </w:t>
      </w:r>
    </w:p>
    <w:p>
      <w:pPr>
        <w:pStyle w:val="[Normal]"/>
        <w:spacing w:line="360" w:lineRule="auto"/>
        <w:ind w:firstLine="1134"/>
        <w:jc w:val="both"/>
        <w:rPr>
          <w:color w:val="000000"/>
          <w:lang w:val="es-AR" w:eastAsia="es-AR" w:bidi="es-AR"/>
        </w:rPr>
      </w:pPr>
      <w:r>
        <w:rPr>
          <w:b/>
          <w:color w:val="000000"/>
          <w:lang w:val="es-AR" w:eastAsia="es-AR" w:bidi="es-AR"/>
        </w:rPr>
        <w:t xml:space="preserve">C U E S T I O N E S</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lang w:val="es-AR" w:eastAsia="es-AR" w:bidi="es-AR"/>
        </w:rPr>
      </w:pPr>
      <w:r>
        <w:rPr>
          <w:color w:val="000000"/>
          <w:lang w:val="es-AR" w:eastAsia="es-AR" w:bidi="es-AR"/>
        </w:rPr>
        <w:t xml:space="preserve">El a-quo mediante resolución del 11/7/25 </w:t>
      </w:r>
      <w:r>
        <w:rPr>
          <w:lang w:val="es-AR" w:eastAsia="es-AR" w:bidi="es-AR"/>
        </w:rPr>
        <w:t xml:space="preserve">reguló los honorarios profesionales por los trabajos realizados en autos de la siguiente manera: I.- Primera y segunda etapa del trámite sucesorio intestado de Doña María de la Paz Esteban (apertura  de  la  sucesión y declaratoria  de herederos): Dres José Maria Belgrano y Evangelina Boldrini, en la suma de Doscientos Cinco Mil Pesos($ 205.000) para cada uno de ellos, como de beneficio común a cargo de la masa intestada. II.- Primera y segunda etapa del trámite sucesorio testamentario: Dr. Carlos Vladimiro Sacoski, en la suma de Cuatrocientos Diez Mil Pesos ($ 410.000), a cargo de los herederos testamentarios.  III.-Y tercera etapa común a ambos trámites acumulados (denuncia de bienes y determinación tasa de justicia) Dr. Carlos Vladimiro Sacoski  en la suma de  Doscientos Cinco Mil Pesos ($ 205.000), a cargo de la totalidad de masa, con más  el  porcentual  que  establece  el  Art. 12 Inc. "a" de la ley 6716 y el  porcentaje de ley previsto para el IVA en cuanto correspondiere (Arts. 9, 14/16; 21; 22; 28 y 35 de la ley 8904, 7 del C.C.C.N. y 1 dec. 522/17).</w:t>
      </w:r>
    </w:p>
    <w:p>
      <w:pPr>
        <w:pStyle w:val="[Normal]"/>
        <w:spacing w:line="360" w:lineRule="auto"/>
        <w:jc w:val="both"/>
        <w:rPr>
          <w:lang w:val="es-AR" w:eastAsia="es-AR" w:bidi="es-AR"/>
        </w:rPr>
      </w:pPr>
      <w:r>
        <w:rPr>
          <w:lang w:val="es-AR" w:eastAsia="es-AR" w:bidi="es-AR"/>
        </w:rPr>
        <w:t xml:space="preserve">	Por trabajos realizados en forma particular y a cargo de sus propios clientes realizados con posterioridad a las etapas enumeradas por el Art. 28 de la ley 8904 y desarrolladas durante su vigencia: Al Dr. José Maria Belgrano en la suma de Ciento Quince Mil Cuatrocientos Ocho Pesos ($ 115.408) (suma equivalente a cuatro jus de unidad arancelaria  (4jus) (Arts. 9, 14/16; 21;22; 28 y 35 de la ley 14.967), con más el porcentual  que  establece el Art. 12 Inc. "a" de la ley 6716 y el  porcentaje de ley previsto para el IVA en cuanto correspondiere. Y por los trabajos complementarios desplegados por el Dr. Belgrano durante la vigencia de la nueva ley de honorarios  en la suma equivalente a cero  con 3/100  jus  (0,3 jus) de unidad arancelaria (Arts. 9, 14/16; 21; 28 y 35 de la ley 14.967), con más el porcentual  que  establece el Art. 12 Inc. "a" de la ley 6716 y el  porcentaje de ley previsto para el IVA en cuanto correspondiere.</w:t>
      </w:r>
    </w:p>
    <w:p>
      <w:pPr>
        <w:pStyle w:val="[Normal]"/>
        <w:spacing w:line="360" w:lineRule="auto"/>
        <w:ind w:firstLine="1134"/>
        <w:jc w:val="both"/>
        <w:rPr>
          <w:lang w:val="es-AR" w:eastAsia="es-AR" w:bidi="es-AR"/>
        </w:rPr>
      </w:pPr>
      <w:r>
        <w:rPr>
          <w:lang w:val="es-AR" w:eastAsia="es-AR" w:bidi="es-AR"/>
        </w:rPr>
        <w:t xml:space="preserve">Finalmente, atento la entrada en vigencia del decreto ley 14.967, se regulan honorarios a las  Dras. Fabiana Warren y María Bernarda Ferreyra, por tareas complementarias y a cargo de sus propios clientes en la suma equivalente a Siete jus de unidad arancelaria  (7 jus) (arts. 9, 14/16; 21;22; 28 y 35 de la ley 14.967)  con más el porcentual  que  establece el Art. 12 Inc. "a" de la ley 6716 y el  porcentaje de ley previsto para el IVA en cuanto correspondiere.</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en fecha 4/8/25 por la Dra. María E. Pintos patrocinante de Lilian Susana Panza heredera del Dr. José M. Belgrano, concedido el 14/8/25, y contestado en fecha 4/9/25 por la Dra. Fabiana Warren patrocinante de los herederos Pablo J. Luelles  y Patrica A. Luelles. </w:t>
      </w:r>
    </w:p>
    <w:p>
      <w:pPr>
        <w:pStyle w:val="[Normal]"/>
        <w:spacing w:line="360" w:lineRule="auto"/>
        <w:ind w:firstLine="1134"/>
        <w:jc w:val="both"/>
        <w:rPr>
          <w:lang w:val="es-AR" w:eastAsia="es-AR" w:bidi="es-AR"/>
        </w:rPr>
      </w:pPr>
      <w:r>
        <w:rPr>
          <w:lang w:val="es-AR" w:eastAsia="es-AR" w:bidi="es-AR"/>
        </w:rPr>
        <w:t xml:space="preserve">Elevados los autos a esta Alzada con fecha 2/12/25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recurrente cuestiona, en primer término, la base regulatoria adoptada por el magistrado de grado, sosteniendo que no debió estarse a la valuación fiscal de los inmuebles sino a la valuación del impuesto al acto que -afirma- obra en autos y refleja de manera más adecuada el valor económico comprometido, invocando la aplicación del art. 35 del dec.-ley 8904/77, así como el principio de realidad económica y la pauta de razonabilidad prevista en el art. 1255 del Código Civil y Comercial.</w:t>
      </w:r>
    </w:p>
    <w:p>
      <w:pPr>
        <w:pStyle w:val="[Normal]"/>
        <w:spacing w:line="360" w:lineRule="auto"/>
        <w:ind w:firstLine="1134"/>
        <w:jc w:val="both"/>
        <w:rPr>
          <w:lang w:val="es-AR" w:eastAsia="es-AR" w:bidi="es-AR"/>
        </w:rPr>
      </w:pPr>
      <w:r>
        <w:rPr>
          <w:lang w:val="es-AR" w:eastAsia="es-AR" w:bidi="es-AR"/>
        </w:rPr>
        <w:t xml:space="preserve">En segundo lugar, se agravia por el porcentaje aplicado en la regulación practicada en favor del Dr. José M. Belgrano, aduciendo que no se habrían respetado las proporciones correspondientes a las etapas del proceso conforme lo dispuesto por el art. 28 del citado cuerpo arancelario, señalando que, pese a haberse cumplido dos etapas completas y tareas complementarias, la retribución fijada resulta exigua.</w:t>
      </w:r>
    </w:p>
    <w:p>
      <w:pPr>
        <w:pStyle w:val="[Normal]"/>
        <w:spacing w:line="360" w:lineRule="auto"/>
        <w:ind w:firstLine="1134"/>
        <w:jc w:val="both"/>
        <w:rPr>
          <w:lang w:val="es-AR" w:eastAsia="es-AR" w:bidi="es-AR"/>
        </w:rPr>
      </w:pPr>
      <w:r>
        <w:rPr>
          <w:lang w:val="es-AR" w:eastAsia="es-AR" w:bidi="es-AR"/>
        </w:rPr>
        <w:t xml:space="preserve">En virtud de ello, solicita se revoque la regulación recurrida y se fijen honorarios acordes a las pautas legales invocadas.</w:t>
      </w:r>
    </w:p>
    <w:p>
      <w:pPr>
        <w:pStyle w:val="[Normal]"/>
        <w:spacing w:line="360" w:lineRule="auto"/>
        <w:ind w:firstLine="1134"/>
        <w:jc w:val="both"/>
        <w:rPr>
          <w:lang w:val="es-AR" w:eastAsia="es-AR" w:bidi="es-AR"/>
        </w:rPr>
      </w:pPr>
      <w:r>
        <w:rPr>
          <w:lang w:val="es-AR" w:eastAsia="es-AR" w:bidi="es-AR"/>
        </w:rPr>
        <w:t xml:space="preserve">Corrido el traslado pertinente, los coherederos comparecientes solicitan el rechazo del recurso, sosteniendo -en lo sustancial- que no se encuentra acreditada en autos la existencia de un valor de tasación o estimación superior a la valuación fiscal que habilite la aplicación del supuesto excepcional previsto en el art. 35 del dec.-ley 8904/77, como así también que la regulación se ajusta a las pautas legales vigentes.</w:t>
      </w:r>
    </w:p>
    <w:p>
      <w:pPr>
        <w:pStyle w:val="[Normal]"/>
        <w:spacing w:line="360" w:lineRule="auto"/>
        <w:ind w:firstLine="1134"/>
        <w:jc w:val="both"/>
        <w:rPr>
          <w:color w:val="000000"/>
          <w:lang w:val="es-AR" w:eastAsia="es-AR" w:bidi="es-AR"/>
        </w:rPr>
      </w:pPr>
      <w:r>
        <w:rPr>
          <w:color w:val="000000"/>
          <w:lang w:val="es-AR" w:eastAsia="es-AR" w:bidi="es-AR"/>
        </w:rPr>
        <w:t xml:space="preserve">Sentado ello, cabe señalar que el recurso no puede prosperar.</w:t>
      </w:r>
    </w:p>
    <w:p>
      <w:pPr>
        <w:pStyle w:val="[Normal]"/>
        <w:spacing w:line="360" w:lineRule="auto"/>
        <w:ind w:firstLine="1134"/>
        <w:jc w:val="both"/>
        <w:rPr>
          <w:color w:val="000000"/>
          <w:lang w:val="es-AR" w:eastAsia="es-AR" w:bidi="es-AR"/>
        </w:rPr>
      </w:pPr>
      <w:r>
        <w:rPr>
          <w:color w:val="000000"/>
          <w:lang w:val="es-AR" w:eastAsia="es-AR" w:bidi="es-AR"/>
        </w:rPr>
        <w:t xml:space="preserve">En efecto, en cuanto al agravio relativo a la base regulatoria, el art. 35 del dec.-ley 8904/77 establece como regla, en los procesos sucesorios, la utilización de la valuación fiscal de los bienes a los fines de la regulación de honorarios, admitiendo únicamente como excepción la existencia en autos -al tiempo de la regulación-de un valor superior que surja de tasación, estimación o venta debidamente incorporada al proceso.</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En el caso, no se verifica la configuración de dicho supuesto excepcional. Por el contrario, la apelante pretende sustituir la base legal prevista por la norma aplicable por un parámetro -valuación del impuesto al acto- que no se encuentra contemplado en el régimen arancelario vigente al momento de realización de las tareas ni de la regulación, siendo propio del sistema introducido por la ley 14.967, inaplicable al sub exámine.</w:t>
      </w:r>
    </w:p>
    <w:p>
      <w:pPr>
        <w:pStyle w:val="[Normal]"/>
        <w:spacing w:line="360" w:lineRule="auto"/>
        <w:ind w:firstLine="1134"/>
        <w:jc w:val="both"/>
        <w:rPr>
          <w:color w:val="000000"/>
          <w:lang w:val="es-AR" w:eastAsia="es-AR" w:bidi="es-AR"/>
        </w:rPr>
      </w:pPr>
      <w:r>
        <w:rPr>
          <w:color w:val="000000"/>
          <w:lang w:val="es-AR" w:eastAsia="es-AR" w:bidi="es-AR"/>
        </w:rPr>
        <w:t xml:space="preserve">Cabe agregar que el planteo no constituye una crítica novedosa sino la reiteración de una postura ya sostenida por la parte en etapas anteriores del proceso. En tal sentido, y frente a la existencia de una planilla de denuncia de bienes oportunamente aprobada y firme -cuya validez fuera incluso confirmada por la Alzada-, la cuestión se encuentra alcanzada por el principio de preclusión procesal, en tanto la base regulatoria fue fijada mediante la aprobación de la denuncia de bienes -acto firme y consentido-, sin que la interesada hubiera articulado oportunamente impugnación idónea contra dicha determinación, lo que impide su revisión en esta instancia (arts. 34 inc. 5 ap. b y cc. del C.P.C.C.).</w:t>
      </w:r>
    </w:p>
    <w:p>
      <w:pPr>
        <w:pStyle w:val="[Normal]"/>
        <w:spacing w:line="360" w:lineRule="auto"/>
        <w:ind w:firstLine="1134"/>
        <w:jc w:val="both"/>
        <w:rPr>
          <w:color w:val="000000"/>
          <w:lang w:val="es-AR" w:eastAsia="es-AR" w:bidi="es-AR"/>
        </w:rPr>
      </w:pPr>
      <w:r>
        <w:rPr>
          <w:color w:val="000000"/>
          <w:lang w:val="es-AR" w:eastAsia="es-AR" w:bidi="es-AR"/>
        </w:rPr>
        <w:t xml:space="preserve">En consecuencia, la base regulatoria fijada en la instancia de origen resulta ajustada a derecho y debe ser mantenida.</w:t>
      </w:r>
    </w:p>
    <w:p>
      <w:pPr>
        <w:pStyle w:val="[Normal]"/>
        <w:spacing w:line="360" w:lineRule="auto"/>
        <w:ind w:firstLine="1134"/>
        <w:jc w:val="both"/>
        <w:rPr>
          <w:color w:val="000000"/>
          <w:lang w:val="es-AR" w:eastAsia="es-AR" w:bidi="es-AR"/>
        </w:rPr>
      </w:pPr>
      <w:r>
        <w:rPr>
          <w:color w:val="000000"/>
          <w:lang w:val="es-AR" w:eastAsia="es-AR" w:bidi="es-AR"/>
        </w:rPr>
        <w:t xml:space="preserve">En cuanto al agravio relativo al monto de los honorarios regulados, corresponde señalar que si bien su determinación constituye una facultad del juzgador de grado, ello no exime a esta Alzada de verificar su adecuación a las pautas legales y su razonabilidad.</w:t>
      </w:r>
    </w:p>
    <w:p>
      <w:pPr>
        <w:pStyle w:val="[Normal]"/>
        <w:spacing w:line="360" w:lineRule="auto"/>
        <w:ind w:firstLine="1134"/>
        <w:jc w:val="both"/>
        <w:rPr>
          <w:color w:val="000000"/>
          <w:lang w:val="es-AR" w:eastAsia="es-AR" w:bidi="es-AR"/>
        </w:rPr>
      </w:pPr>
      <w:r>
        <w:rPr>
          <w:color w:val="000000"/>
          <w:lang w:val="es-AR" w:eastAsia="es-AR" w:bidi="es-AR"/>
        </w:rPr>
        <w:t xml:space="preserve">En tal sentido, cabe ponderar que la base regulatoria firme asciende a la suma de $ 4.000.313 (fs. 452), y que el régimen del dec. ley 8904/77 establece para los procesos sucesorios una escala arancelaria que oscila entre el 6% y el 20% del valor del acervo (art. 35).</w:t>
      </w:r>
    </w:p>
    <w:p>
      <w:pPr>
        <w:pStyle w:val="[Normal]"/>
        <w:spacing w:line="360" w:lineRule="auto"/>
        <w:ind w:firstLine="1134"/>
        <w:jc w:val="both"/>
        <w:rPr>
          <w:color w:val="000000"/>
          <w:lang w:val="es-AR" w:eastAsia="es-AR" w:bidi="es-AR"/>
        </w:rPr>
      </w:pPr>
      <w:r>
        <w:rPr>
          <w:color w:val="000000"/>
          <w:lang w:val="es-AR" w:eastAsia="es-AR" w:bidi="es-AR"/>
        </w:rPr>
        <w:t xml:space="preserve">Asimismo, se advierte que el Dr. José María Belgrano intervino en las dos primeras etapas del proceso sucesorio ab intestato, en forma conjunta con la Dra. Boldrini, lo que implica su participación en aproximadamente dos tercios del trámite, debiendo distribuirse entre ambos profesionales la porción correspondiente a dichas etapas (arts. 28 y 35 dec. ley 8904/77).</w:t>
      </w:r>
    </w:p>
    <w:p>
      <w:pPr>
        <w:pStyle w:val="[Normal]"/>
        <w:spacing w:line="360" w:lineRule="auto"/>
        <w:ind w:firstLine="1134"/>
        <w:jc w:val="both"/>
        <w:rPr>
          <w:color w:val="000000"/>
          <w:lang w:val="es-AR" w:eastAsia="es-AR" w:bidi="es-AR"/>
        </w:rPr>
      </w:pPr>
      <w:r>
        <w:rPr>
          <w:color w:val="000000"/>
          <w:lang w:val="es-AR" w:eastAsia="es-AR" w:bidi="es-AR"/>
        </w:rPr>
        <w:t xml:space="preserve">En ese contexto, la regulación efectuada por el magistrado de grado -considerando la base indicada, la intervención compartida en las etapas cumplidas y la valoración de las restantes tareas como complementarias- no se presenta como irrisoria ni desproporcionada dentro de la escala legal aplicable, sino que guarda razonable adecuación con la entidad, extensión y resultado de la labor profesional desarrollada (art. 16, dec. ley 8904/77).</w:t>
      </w:r>
    </w:p>
    <w:p>
      <w:pPr>
        <w:pStyle w:val="[Normal]"/>
        <w:spacing w:line="360" w:lineRule="auto"/>
        <w:ind w:firstLine="1134"/>
        <w:jc w:val="both"/>
        <w:rPr>
          <w:color w:val="000000"/>
          <w:lang w:val="es-AR" w:eastAsia="es-AR" w:bidi="es-AR"/>
        </w:rPr>
      </w:pPr>
      <w:r>
        <w:rPr>
          <w:color w:val="000000"/>
          <w:lang w:val="es-AR" w:eastAsia="es-AR" w:bidi="es-AR"/>
        </w:rPr>
        <w:t xml:space="preserve">En consecuencia, no se advierten motivos que justifiquen apartarse del criterio adoptado en la instancia de origen, correspondiendo confirmar la regulación recurrida.</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AFIRMATIVA</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w:t>
      </w:r>
      <w:r>
        <w:rPr>
          <w:lang w:val="es-AR" w:eastAsia="es-AR" w:bidi="es-AR"/>
        </w:rPr>
        <w:t xml:space="preserve">Denise Scaglia</w:t>
      </w:r>
      <w:r>
        <w:rPr>
          <w:color w:val="000000"/>
          <w:lang w:val="es-AR" w:eastAsia="es-AR" w:bidi="es-AR"/>
        </w:rPr>
        <w:t xml:space="preserv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Desestimar el recurso de apelación deducido, y en consecuencia confirmar el fallo atacado.</w:t>
      </w:r>
    </w:p>
    <w:p>
      <w:pPr>
        <w:pStyle w:val="[Normal]"/>
        <w:spacing w:line="360" w:lineRule="auto"/>
        <w:ind w:firstLine="1134"/>
        <w:jc w:val="both"/>
        <w:rPr>
          <w:color w:val="000000"/>
          <w:lang w:val="es-AR" w:eastAsia="es-AR" w:bidi="es-AR"/>
        </w:rPr>
      </w:pPr>
      <w:r>
        <w:rPr>
          <w:color w:val="000000"/>
          <w:lang w:val="es-AR" w:eastAsia="es-AR" w:bidi="es-AR"/>
        </w:rPr>
        <w:t xml:space="preserve">Sin costas en atención a la naturaleza de la cuestión debatida (art. 68 CPCC).</w:t>
      </w:r>
    </w:p>
    <w:p>
      <w:pPr>
        <w:pStyle w:val="[Normal]"/>
        <w:spacing w:line="360" w:lineRule="auto"/>
        <w:ind w:firstLine="1134"/>
        <w:jc w:val="both"/>
        <w:rPr>
          <w:color w:val="000000"/>
          <w:lang w:val="es-AR" w:eastAsia="es-AR" w:bidi="es-AR"/>
        </w:rPr>
      </w:pPr>
      <w:r>
        <w:rPr>
          <w:b/>
          <w:color w:val="000000"/>
          <w:lang w:val="es-AR" w:eastAsia="es-AR" w:bidi="es-AR"/>
        </w:rPr>
        <w:t xml:space="preserve">ASI LO VOTO</w:t>
      </w:r>
      <w:r>
        <w:rPr>
          <w:color w:val="000000"/>
          <w:lang w:val="es-AR" w:eastAsia="es-AR" w:bidi="es-AR"/>
        </w:rPr>
        <w:t xml:space="preserve">.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w:t>
      </w:r>
      <w:r>
        <w:rPr>
          <w:lang w:val="es-AR" w:eastAsia="es-AR" w:bidi="es-AR"/>
        </w:rPr>
        <w:t xml:space="preserve">Denise Scaglia</w:t>
      </w:r>
      <w:r>
        <w:rPr>
          <w:color w:val="000000"/>
          <w:lang w:val="es-AR" w:eastAsia="es-AR" w:bidi="es-AR"/>
        </w:rPr>
        <w:t xml:space="preserve"> por análogos fundamentos votó en el mismo sentido.- </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lang w:val="es-AR" w:eastAsia="es-AR" w:bidi="es-AR"/>
        </w:rPr>
        <w:t xml:space="preserve">S E N T E N C I A</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Desestimar el recurso de apelación deducido, y en consecuencia confirmar el fallo atacado.</w:t>
      </w:r>
    </w:p>
    <w:p>
      <w:pPr>
        <w:pStyle w:val="[Normal]"/>
        <w:spacing w:line="360" w:lineRule="auto"/>
        <w:ind w:firstLine="1134"/>
        <w:jc w:val="both"/>
        <w:rPr>
          <w:color w:val="000000"/>
          <w:lang w:val="es-AR" w:eastAsia="es-AR" w:bidi="es-AR"/>
        </w:rPr>
      </w:pPr>
      <w:r>
        <w:rPr>
          <w:color w:val="000000"/>
          <w:lang w:val="es-AR" w:eastAsia="es-AR" w:bidi="es-AR"/>
        </w:rPr>
        <w:t xml:space="preserve">Sin costas en atención a la naturaleza de la cuestión debatida (art. 68 CPCC).</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27203752739@NOTIFICACIONES.SCBA.GOV.AR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27184797254@NOTIFICACIONES.SCBA.GOV.AR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23313641449@NOTIFICACIONES.SCBA.GOV.AR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27272293711@NOTIFICACIONES.SCBA.GOV.AR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27282860800@NOTIFICACIONES.SCBA.GOV.AR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14/04/2026 10:12:42 -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14/04/2026 12:22:57 - SCAGLIA Denise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14/04/2026 13:29:21 -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‰8n")è&amp;o^j2Š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247802090006796274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14/04/2026 13:29:34 hs. bajo el número RS-56-2026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