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r>
        <w:rPr>
          <w:lang w:val="es-AR" w:eastAsia="es-AR" w:bidi="es-AR"/>
        </w:rPr>
        <w:t xml:space="preserve"> </w:t>
      </w:r>
    </w:p>
    <w:p>
      <w:pPr>
        <w:pStyle w:val="[Normal]"/>
        <w:spacing w:line="360" w:lineRule="auto"/>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lang w:val="es-AR" w:eastAsia="es-AR" w:bidi="es-AR"/>
        </w:rPr>
        <w:t xml:space="preserve">5927-25</w:t>
      </w:r>
      <w:r>
        <w:rPr>
          <w:lang w:val="es-AR" w:eastAsia="es-AR" w:bidi="es-AR"/>
        </w:rPr>
        <w:t xml:space="preserve"> caratulada </w:t>
      </w:r>
      <w:r>
        <w:rPr>
          <w:b/>
          <w:lang w:val="es-AR" w:eastAsia="es-AR" w:bidi="es-AR"/>
        </w:rPr>
        <w:t xml:space="preserve">"</w:t>
      </w:r>
      <w:r>
        <w:rPr>
          <w:b/>
          <w:lang w:val="es-AR" w:eastAsia="es-AR" w:bidi="es-AR"/>
        </w:rPr>
        <w:t xml:space="preserve">VOTTERO VIVIANA ANDREA Y OTRO C/  KARUZIK GUSTAVO ANDRES   EN SU CARACTER DE HEREDERO DE KARUZIC ANDRES JUAN Y BRIGNOLO JULIA NORMA S/ ESCRITURACION</w:t>
      </w:r>
      <w:r>
        <w:rPr>
          <w:b/>
          <w:lang w:val="es-AR" w:eastAsia="es-AR" w:bidi="es-AR"/>
        </w:rPr>
        <w:t xml:space="preserve">"</w:t>
      </w:r>
      <w:r>
        <w:rPr>
          <w:lang w:val="es-AR" w:eastAsia="es-AR" w:bidi="es-AR"/>
        </w:rPr>
        <w:t xml:space="preserve">, Expte. </w:t>
      </w:r>
      <w:r>
        <w:rPr>
          <w:lang w:val="es-AR" w:eastAsia="es-AR" w:bidi="es-AR"/>
        </w:rPr>
        <w:t xml:space="preserve">64.740</w:t>
      </w:r>
      <w:r>
        <w:rPr>
          <w:lang w:val="es-AR" w:eastAsia="es-AR" w:bidi="es-AR"/>
        </w:rPr>
        <w:t xml:space="preserve"> del Juzgado en lo Civil y Comercial N° 3, se practicó el sorteo de ley que determinó que la votación debía efectuarse en el siguiente orden: Graciela Scaraffia y Roberto Degleue, y estudiados los autos se resolvió plantear y votar las siguientes: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C U E S T I O N E S:</w:t>
      </w:r>
    </w:p>
    <w:p>
      <w:pPr>
        <w:pStyle w:val="[Normal]"/>
        <w:spacing w:line="360" w:lineRule="auto"/>
        <w:jc w:val="both"/>
        <w:rPr>
          <w:lang w:val="es-AR" w:eastAsia="es-AR" w:bidi="es-AR"/>
        </w:rPr>
      </w:pPr>
      <w:r>
        <w:rPr>
          <w:lang w:val="es-AR" w:eastAsia="es-AR" w:bidi="es-AR"/>
        </w:rPr>
        <w:t xml:space="preserve"> 	I) ¿Se ajusta a derecho la sentencia apelada?</w:t>
      </w:r>
    </w:p>
    <w:p>
      <w:pPr>
        <w:pStyle w:val="[Normal]"/>
        <w:spacing w:line="360" w:lineRule="auto"/>
        <w:jc w:val="both"/>
        <w:rPr>
          <w:lang w:val="es-AR" w:eastAsia="es-AR" w:bidi="es-AR"/>
        </w:rPr>
      </w:pPr>
      <w:r>
        <w:rPr>
          <w:lang w:val="es-AR" w:eastAsia="es-AR" w:bidi="es-AR"/>
        </w:rPr>
        <w:t xml:space="preserve"> 	II) ¿Qué pronunciamiento corresponde dictar?</w:t>
      </w:r>
    </w:p>
    <w:p>
      <w:pPr>
        <w:pStyle w:val="[Normal]"/>
        <w:spacing w:line="360" w:lineRule="auto"/>
        <w:jc w:val="both"/>
        <w:rPr>
          <w:lang w:val="es-AR" w:eastAsia="es-AR" w:bidi="es-AR"/>
        </w:rPr>
      </w:pPr>
      <w:r>
        <w:rPr>
          <w:lang w:val="es-AR" w:eastAsia="es-AR" w:bidi="es-AR"/>
        </w:rPr>
        <w:t xml:space="preserve"> 	A la primera cuestión la señora Jueza Graciela Scaraffia dijo:</w:t>
      </w:r>
    </w:p>
    <w:p>
      <w:pPr>
        <w:pStyle w:val="[Normal]"/>
        <w:spacing w:line="360" w:lineRule="auto"/>
        <w:jc w:val="both"/>
        <w:rPr>
          <w:lang w:val="es-AR" w:eastAsia="es-AR" w:bidi="es-AR"/>
        </w:rPr>
      </w:pPr>
      <w:r>
        <w:rPr>
          <w:lang w:val="es-AR" w:eastAsia="es-AR" w:bidi="es-AR"/>
        </w:rPr>
        <w:t xml:space="preserve"> 	El Sr. Juez de la anterior instancia rechazó la demanda que instaurara Viviana Andrea Vottero y Daniel Micheri, por vía de juicio ordinario contra Gustavo Karuzic.  Aplicó  las costas a la parte actora, que resulta vencida (Art. 68 C.P.C.). Difirió la regulación de honorarios de  los letrados  intervinientes  y de los peritos, hasta que se haya  determinado la base para ello (Art. 27 Inc. a, ley 8904).</w:t>
      </w:r>
    </w:p>
    <w:p>
      <w:pPr>
        <w:pStyle w:val="[Normal]"/>
        <w:spacing w:line="360" w:lineRule="auto"/>
        <w:jc w:val="both"/>
        <w:rPr>
          <w:lang w:val="es-AR" w:eastAsia="es-AR" w:bidi="es-AR"/>
        </w:rPr>
      </w:pPr>
      <w:r>
        <w:rPr>
          <w:lang w:val="es-AR" w:eastAsia="es-AR" w:bidi="es-AR"/>
        </w:rPr>
        <w:t xml:space="preserve"> 	Tal decisorio fue objeto del recurso de apelación interpuesto y fundado el 13-6-2025 por la parte actora, concedido el día 25-11-2025 libremente y en ambos efectos.  Elevados los autos a esta Alzada con fecha 27-11-2025 se dió traslado a la parte demandada del recurso interpuesto prematuramente.  El 18-12-2025 no habiendo la parte demandada evacuado el traslado conferido se le dió por perdido el derecho dejado de usar y se llamo autos para dictar sentencia, providencia, que firme a la fecha deja la causa en condiciones de ser fallada.</w:t>
      </w:r>
    </w:p>
    <w:p>
      <w:pPr>
        <w:pStyle w:val="[Normal]"/>
        <w:spacing w:line="360" w:lineRule="auto"/>
        <w:jc w:val="both"/>
        <w:rPr>
          <w:lang w:val="es-AR" w:eastAsia="es-AR" w:bidi="es-AR"/>
        </w:rPr>
      </w:pPr>
      <w:r>
        <w:rPr>
          <w:lang w:val="es-AR" w:eastAsia="es-AR" w:bidi="es-AR"/>
        </w:rPr>
        <w:t xml:space="preserve"> 	En sustento de su crítica recursiva, la parte apelante expone los siguientes puntos de agravio:	</w:t>
      </w:r>
    </w:p>
    <w:p>
      <w:pPr>
        <w:pStyle w:val="[Normal]"/>
        <w:spacing w:line="360" w:lineRule="auto"/>
        <w:jc w:val="both"/>
        <w:rPr>
          <w:lang w:val="es-AR" w:eastAsia="es-AR" w:bidi="es-AR"/>
        </w:rPr>
      </w:pPr>
      <w:r>
        <w:rPr>
          <w:lang w:val="es-AR" w:eastAsia="es-AR" w:bidi="es-AR"/>
        </w:rPr>
        <w:t xml:space="preserve"> 	1) Omisión indebida de valorar la prueba decisiva sobre el pago del precio.</w:t>
      </w:r>
    </w:p>
    <w:p>
      <w:pPr>
        <w:pStyle w:val="[Normal]"/>
        <w:spacing w:line="360" w:lineRule="auto"/>
        <w:jc w:val="both"/>
        <w:rPr>
          <w:lang w:val="es-AR" w:eastAsia="es-AR" w:bidi="es-AR"/>
        </w:rPr>
      </w:pPr>
      <w:r>
        <w:rPr>
          <w:lang w:val="es-AR" w:eastAsia="es-AR" w:bidi="es-AR"/>
        </w:rPr>
        <w:t xml:space="preserve"> 	La parte actora recurrente se agravia de la valoración probatoria efectuada por la magistrada de grado. Sostiene que el rechazo de la demanda se funda en una premisa fáctica errónea, cual es la falta de acreditación del pago del precio, omitiéndose ponderar —según afirma— prueba documental de entidad suficiente para demostrar la cancelación de la obligación asumida por la compradora, en particular los recibos suscriptos por la vendedora y el acta notarial acompañada a la causa. En tal sentido, aduce que la sentencia incurre en una apreciación fragmentaria e insuficiente del material probatorio, prescindiendo de elementos conducentes para la correcta solución del litigio.</w:t>
      </w:r>
    </w:p>
    <w:p>
      <w:pPr>
        <w:pStyle w:val="[Normal]"/>
        <w:spacing w:line="360" w:lineRule="auto"/>
        <w:jc w:val="both"/>
        <w:rPr>
          <w:lang w:val="es-AR" w:eastAsia="es-AR" w:bidi="es-AR"/>
        </w:rPr>
      </w:pPr>
      <w:r>
        <w:rPr>
          <w:lang w:val="es-AR" w:eastAsia="es-AR" w:bidi="es-AR"/>
        </w:rPr>
        <w:t xml:space="preserve"> 	2) Desconocimiento de la resolución judicial firme de Villa Carlos Paz.</w:t>
      </w:r>
    </w:p>
    <w:p>
      <w:pPr>
        <w:pStyle w:val="[Normal]"/>
        <w:spacing w:line="360" w:lineRule="auto"/>
        <w:jc w:val="both"/>
        <w:rPr>
          <w:lang w:val="es-AR" w:eastAsia="es-AR" w:bidi="es-AR"/>
        </w:rPr>
      </w:pPr>
      <w:r>
        <w:rPr>
          <w:lang w:val="es-AR" w:eastAsia="es-AR" w:bidi="es-AR"/>
        </w:rPr>
        <w:t xml:space="preserve"> 	Se agravia en segundo lugar, de que la sentencia habría soslayado los efectos de una resolución judicial firme dictada en el trámite seguido ante la ciudad de Villa Carlos Paz, en la que -según expone- se tuvo por aceptada la consignación efectuada y por cancelado el saldo del precio convenido. Afirma que ese antecedente jurisdiccional revestía decisiva relevancia para la solución del caso, en tanto consolidaba el cumplimiento de la prestación a cargo de la compradora y vedaba concluir, como lo hizo la juzgadora, que subsistía un incumplimiento impeditivo de la escrituración pretendida.</w:t>
      </w:r>
    </w:p>
    <w:p>
      <w:pPr>
        <w:pStyle w:val="[Normal]"/>
        <w:spacing w:line="360" w:lineRule="auto"/>
        <w:jc w:val="both"/>
        <w:rPr>
          <w:lang w:val="es-AR" w:eastAsia="es-AR" w:bidi="es-AR"/>
        </w:rPr>
      </w:pPr>
      <w:r>
        <w:rPr>
          <w:lang w:val="es-AR" w:eastAsia="es-AR" w:bidi="es-AR"/>
        </w:rPr>
        <w:t xml:space="preserve"> 	3) Falta de tratamiento de la cesión del boleto y errónea aplicación de la exceptio non adimpleti.</w:t>
      </w:r>
    </w:p>
    <w:p>
      <w:pPr>
        <w:pStyle w:val="[Normal]"/>
        <w:spacing w:line="360" w:lineRule="auto"/>
        <w:jc w:val="both"/>
        <w:rPr>
          <w:lang w:val="es-AR" w:eastAsia="es-AR" w:bidi="es-AR"/>
        </w:rPr>
      </w:pPr>
      <w:r>
        <w:rPr>
          <w:lang w:val="es-AR" w:eastAsia="es-AR" w:bidi="es-AR"/>
        </w:rPr>
        <w:t xml:space="preserve"> 	Finalmente, cuestiona la recurrente que la sentencia no hubiera tratado de modo adecuado la cesión del boleto de compraventa invocada como fuente de su legitimación sustancial activa. Refiere que tal omisión condujo a una errónea aplicación de la defensa de contrato no cumplido, pues, de haberse examinado debidamente la cesión y el cumplimiento del precio, no habría podido concluirse que la actora carecía de derecho a exigir la escrituración. En esa línea, sostiene que el fallo prescinde de una cuestión central introducida al debate y resuelve sobre la base de una inteligencia inadecuada de la relación obligacional controvertida.	</w:t>
        <w:br w:type="textWrapping"/>
      </w:r>
      <w:r>
        <w:rPr>
          <w:lang w:val="es-AR" w:eastAsia="es-AR" w:bidi="es-AR"/>
        </w:rPr>
        <w:t xml:space="preserve"> 	Delimitado el marco recursivo, la cuestión controvertida que llega a esta Alzada consiste en determinar entonces si el rechazo de la demanda de escrituración se ajusta a derecho, en particular, si la parte actora logró acreditar el cumplimiento de las obligaciones a su cargo -especialmente, el pago del precio- y si, en ese marco, correspondía reconocerle legitimación para exigir el otorgamiento de la escritura traslativa de dominio con sustento en la cesión del boleto invocada en autos.</w:t>
      </w:r>
    </w:p>
    <w:p>
      <w:pPr>
        <w:pStyle w:val="[Normal]"/>
        <w:spacing w:line="360" w:lineRule="auto"/>
        <w:jc w:val="both"/>
        <w:rPr>
          <w:lang w:val="es-AR" w:eastAsia="es-AR" w:bidi="es-AR"/>
        </w:rPr>
      </w:pPr>
      <w:r>
        <w:rPr>
          <w:lang w:val="es-AR" w:eastAsia="es-AR" w:bidi="es-AR"/>
        </w:rPr>
        <w:t xml:space="preserve"> 	Corresponde señalar con carácter previo, que el tratamiento del recurso se ceñirá a los agravios concretamente introducidos por la apelante y a los aspectos de la sentencia que han sido eficazmente puestos en crisis, de conformidad con el alcance que cabe reconocer a la competencia revisora de esta Alzada. En ese marco, el examen se desarrollará a partir de las cuestiones que resulten decisivas para la solución del litigio, sin que sea menester seguir a las partes en todas y cada una de sus argumentaciones, sino únicamente en aquellas conducentes para la resolución del caso.</w:t>
      </w:r>
    </w:p>
    <w:p>
      <w:pPr>
        <w:pStyle w:val="[Normal]"/>
        <w:spacing w:line="360" w:lineRule="auto"/>
        <w:jc w:val="both"/>
        <w:rPr>
          <w:rStyle w:val="STRONG"/>
          <w:lang w:val="es-AR" w:eastAsia="es-AR" w:bidi="es-AR"/>
        </w:rPr>
      </w:pPr>
      <w:r>
        <w:rPr>
          <w:rStyle w:val="STRONG"/>
          <w:lang w:val="es-AR" w:eastAsia="es-AR" w:bidi="es-AR"/>
        </w:rPr>
        <w:t xml:space="preserve"> 	</w:t>
      </w:r>
      <w:r>
        <w:rPr>
          <w:rStyle w:val="STRONG"/>
          <w:b w:val="off"/>
          <w:lang w:val="es-AR" w:eastAsia="es-AR" w:bidi="es-AR"/>
        </w:rPr>
        <w:t xml:space="preserve">Con el fin de encuadrar debidamente la cuestión, he de partir primeramente de la premisa fundamental según la cual la obligación de escriturar resulta una prestación de hacer compleja que requiere la realización de actos concretos de cooperación por las contratantes dentro del marco de la buena fe.-</w:t>
      </w:r>
    </w:p>
    <w:p>
      <w:pPr>
        <w:pStyle w:val="[Normal]"/>
        <w:spacing w:line="360" w:lineRule="auto"/>
        <w:jc w:val="both"/>
        <w:rPr>
          <w:lang w:val="es-AR" w:eastAsia="es-AR" w:bidi="es-AR"/>
        </w:rPr>
      </w:pPr>
      <w:r>
        <w:rPr>
          <w:rStyle w:val="STRONG"/>
          <w:lang w:val="es-AR" w:eastAsia="es-AR" w:bidi="es-AR"/>
        </w:rPr>
        <w:t xml:space="preserve"> </w:t>
      </w:r>
      <w:r>
        <w:rPr>
          <w:rStyle w:val="STRONG"/>
          <w:b w:val="off"/>
          <w:lang w:val="es-AR" w:eastAsia="es-AR" w:bidi="es-AR"/>
        </w:rPr>
        <w:t xml:space="preserve">	En este sentido, la jurisprudencia provincial ha sido enfática respecto a las características de esta particular obligación. Así se ha dicho que </w:t>
      </w:r>
      <w:r>
        <w:rPr>
          <w:i/>
          <w:lang w:val="es-AR" w:eastAsia="es-AR" w:bidi="es-AR"/>
        </w:rPr>
        <w:t xml:space="preserve">"... la escrituración constituye una obligación de hacer, que requiere el cumplimiento de las contraprestaciones por las partes. Así, frente a los términos de un boleto de compraventa, resulta que el comprador debe abonar la totalidad del precio y, por otra parte, el vendedor debe colaborar a los fines que pueda otorgarse la escritura pública, cumpliendo a estos efectos con lo convenido en el boleto.- Todo ello responde al principio de buena fe que guía a los contratos que celebran y ejecutan las partes... "</w:t>
      </w:r>
      <w:r>
        <w:rPr>
          <w:lang w:val="es-AR" w:eastAsia="es-AR" w:bidi="es-AR"/>
        </w:rPr>
        <w:t xml:space="preserve"> (CC0102 MP 112713 ).-</w:t>
      </w:r>
    </w:p>
    <w:p>
      <w:pPr>
        <w:pStyle w:val="[Normal]"/>
        <w:spacing w:line="360" w:lineRule="auto"/>
        <w:jc w:val="both"/>
        <w:rPr>
          <w:lang w:val="es-AR" w:eastAsia="es-AR" w:bidi="es-AR"/>
        </w:rPr>
      </w:pPr>
      <w:r>
        <w:rPr>
          <w:lang w:val="es-AR" w:eastAsia="es-AR" w:bidi="es-AR"/>
        </w:rPr>
        <w:t xml:space="preserve"> 	Asimismo, se ha declarado que: </w:t>
      </w:r>
      <w:r>
        <w:rPr>
          <w:i/>
          <w:lang w:val="es-AR" w:eastAsia="es-AR" w:bidi="es-AR"/>
        </w:rPr>
        <w:t xml:space="preserve">"... el deber de hacer, de otorgar la escritura pública, recae por igual sobre ambas partes. Tanto el vendedor como el comprador deben cumplir con aquellas obligaciones previas y que hagan posible el otorgamiento de la escritura, así como colaborar con el notario con todo lo que este necesite para hacerlo. Puede decirse que para cada parte es una obligación y también un derecho ... "</w:t>
      </w:r>
      <w:r>
        <w:rPr>
          <w:lang w:val="es-AR" w:eastAsia="es-AR" w:bidi="es-AR"/>
        </w:rPr>
        <w:t xml:space="preserve"> (CC0001 AZ 52341).-</w:t>
      </w:r>
    </w:p>
    <w:p>
      <w:pPr>
        <w:pStyle w:val="[Normal]"/>
        <w:spacing w:line="360" w:lineRule="auto"/>
        <w:jc w:val="both"/>
        <w:rPr>
          <w:lang w:val="es-AR" w:eastAsia="es-AR" w:bidi="es-AR"/>
        </w:rPr>
      </w:pPr>
      <w:r>
        <w:rPr>
          <w:lang w:val="es-AR" w:eastAsia="es-AR" w:bidi="es-AR"/>
        </w:rPr>
        <w:t xml:space="preserve"> 	Es necesario recordar que </w:t>
      </w:r>
      <w:r>
        <w:rPr>
          <w:i/>
          <w:lang w:val="es-AR" w:eastAsia="es-AR" w:bidi="es-AR"/>
        </w:rPr>
        <w:t xml:space="preserve">"... El acto escriturario es un acto complejo, respecto del cual deben cumplirse una serie de obligaciones ejecutables por ambos contratantes en concurso con un tercero (el escribano); lógico es afirmar que comprador y vendedor se deben recíproca lealtad en el desarrollo de las diligencias o prestaciones pendientes y que la responsabilidad por incumplimiento pesará sobre quien ponga obstáculos para la preparación de la escritura y la fijación de fecha"</w:t>
      </w:r>
      <w:r>
        <w:rPr>
          <w:lang w:val="es-AR" w:eastAsia="es-AR" w:bidi="es-AR"/>
        </w:rPr>
        <w:t xml:space="preserve"> ( conf. arts. 509, 1185 y 1187 del Código Civil)..." ( SCBA LP C 116965 S 02/07/2014 ).-</w:t>
      </w:r>
    </w:p>
    <w:p>
      <w:pPr>
        <w:pStyle w:val="[Normal]"/>
        <w:spacing w:line="360" w:lineRule="auto"/>
        <w:jc w:val="both"/>
        <w:rPr>
          <w:lang w:val="es-AR" w:eastAsia="es-AR" w:bidi="es-AR"/>
        </w:rPr>
      </w:pPr>
      <w:r>
        <w:rPr>
          <w:lang w:val="es-AR" w:eastAsia="es-AR" w:bidi="es-AR"/>
        </w:rPr>
        <w:t xml:space="preserve"> 	Dada la interrelación lógica y jurídica que entraña la escrituración como acto jurídico complejo, el cumplimiento de las obligaciones a cargo de una de las partes deviene como condición necesaria para poder invocar válidamente el estado de mora en que hubiese incurrido la otra (desde el momento en que, fuera del ámbito judicial, ninguna parte puede por sí sola dar por concluido el acto sin el concurso de la voluntad de la otra).  Y la falta de observancia de alguna de las prestaciones de hacer a cargo de la parte accionante que requiere la aplicación de multa opera como óbice para hacer efectiva la sanción referida.</w:t>
      </w:r>
    </w:p>
    <w:p>
      <w:pPr>
        <w:pStyle w:val="[Normal]"/>
        <w:spacing w:line="360" w:lineRule="auto"/>
        <w:jc w:val="both"/>
        <w:rPr>
          <w:lang w:val="es-AR" w:eastAsia="es-AR" w:bidi="es-AR"/>
        </w:rPr>
      </w:pPr>
      <w:r>
        <w:rPr>
          <w:lang w:val="es-AR" w:eastAsia="es-AR" w:bidi="es-AR"/>
        </w:rPr>
        <w:t xml:space="preserve"> 	I.- Enmarcada la cuestión bajo las referidas coordenadas, corresponde ingresar en el tratamiento del agravio referido a la supuesta omisión de valorar prueba decisiva sobre el pago del precio. Adelanto que el mismo no puede prosperar.</w:t>
      </w:r>
    </w:p>
    <w:p>
      <w:pPr>
        <w:pStyle w:val="[Normal]"/>
        <w:spacing w:line="360" w:lineRule="auto"/>
        <w:jc w:val="both"/>
        <w:rPr>
          <w:lang w:val="es-AR" w:eastAsia="es-AR" w:bidi="es-AR"/>
        </w:rPr>
      </w:pPr>
      <w:r>
        <w:rPr>
          <w:lang w:val="es-AR" w:eastAsia="es-AR" w:bidi="es-AR"/>
        </w:rPr>
        <w:t xml:space="preserve"> 	Parto de la premisa de que no se halla controvertido en autos que entre Norma Julia Brignolo y los actores se celebró, con fecha 8/10/2011, un boleto de compraventa por el 50% del inmueble allí individualizado, pactándose un precio total de U$S 20.000, con entrega inicial de U$S 1.000 y saldo en ocho cuotas mensuales, iguales y consecutivas, conviniéndose además pacto comisorio a favor de la vendedora para el supuesto de incumplimiento de la obligación de pago.  	 </w:t>
        <w:br w:type="textWrapping"/>
      </w:r>
      <w:r>
        <w:rPr>
          <w:lang w:val="es-AR" w:eastAsia="es-AR" w:bidi="es-AR"/>
        </w:rPr>
        <w:t xml:space="preserve"> 	Tampoco se discute que, al trabarse la litis, la demandada negó expresamente que la causante hubiera percibido las ocho cuotas restantes y sostuvo que los actores no habían satisfecho íntegramente el precio, extremo sobre el cual edificó su resistencia a la pretensión de escrituración.</w:t>
      </w:r>
    </w:p>
    <w:p>
      <w:pPr>
        <w:pStyle w:val="[Normal]"/>
        <w:spacing w:line="360" w:lineRule="auto"/>
        <w:jc w:val="both"/>
        <w:rPr>
          <w:lang w:val="es-AR" w:eastAsia="es-AR" w:bidi="es-AR"/>
        </w:rPr>
      </w:pPr>
      <w:r>
        <w:rPr>
          <w:lang w:val="es-AR" w:eastAsia="es-AR" w:bidi="es-AR"/>
        </w:rPr>
        <w:t xml:space="preserve"> 	Sobre esa base no controvertida, advierto que el sentenciante de origen encuadró correctamente la cuestión al establecer la necesidad de verificar si la parte actora había cumplido las obligaciones a su cargo, desde que en materia de escrituración no resulta exigible la prestación de la contraria sin el correlato del cumplimiento -o, en su caso, de la demostración idónea del ofrecimiento de cumplir- de la obligación recíproca asumida por quien demanda. Luego, bajo esa premisa, concluyó que la actora no había aportado comprobante alguno apto para acreditar el pago del precio y rechazó la demanda.</w:t>
      </w:r>
    </w:p>
    <w:p>
      <w:pPr>
        <w:pStyle w:val="[Normal]"/>
        <w:spacing w:line="360" w:lineRule="auto"/>
        <w:jc w:val="both"/>
        <w:rPr>
          <w:lang w:val="es-AR" w:eastAsia="es-AR" w:bidi="es-AR"/>
        </w:rPr>
      </w:pPr>
      <w:r>
        <w:rPr>
          <w:lang w:val="es-AR" w:eastAsia="es-AR" w:bidi="es-AR"/>
        </w:rPr>
        <w:t xml:space="preserve"> 	La recurrente sostiene que dicha conclusión resulta errónea porque el juez omitió ponderar recibos de pago firmados por la vendedora, un acta notarial y, además, la Resolución interlocutoria n.º 452/2012 del Juzgado Civil, Comercial, Concursal y de Familia de Villa Carlos Paz, que -según afirma- tendría por abonado el precio. </w:t>
      </w:r>
    </w:p>
    <w:p>
      <w:pPr>
        <w:pStyle w:val="[Normal]"/>
        <w:spacing w:line="360" w:lineRule="auto"/>
        <w:jc w:val="both"/>
        <w:rPr>
          <w:lang w:val="es-AR" w:eastAsia="es-AR" w:bidi="es-AR"/>
        </w:rPr>
      </w:pPr>
      <w:r>
        <w:rPr>
          <w:lang w:val="es-AR" w:eastAsia="es-AR" w:bidi="es-AR"/>
        </w:rPr>
        <w:t xml:space="preserve"> 	Sin embargo, el examen de las constancias traídas a revisión no permite conferir a tales elementos el alcance decisivo que el apelante les atribuye.</w:t>
      </w:r>
    </w:p>
    <w:p>
      <w:pPr>
        <w:pStyle w:val="[Normal]"/>
        <w:spacing w:line="360" w:lineRule="auto"/>
        <w:jc w:val="both"/>
        <w:rPr>
          <w:lang w:val="es-AR" w:eastAsia="es-AR" w:bidi="es-AR"/>
        </w:rPr>
      </w:pPr>
      <w:r>
        <w:rPr>
          <w:lang w:val="es-AR" w:eastAsia="es-AR" w:bidi="es-AR"/>
        </w:rPr>
        <w:t xml:space="preserve">  	En lo atinente al acta notarial, la propia reseña fáctica efectuada en la sentencia evidencia que dicho instrumento fue invocado para dejar constancia de un último requerimiento de escrituración cursado al Sr. Karuzik, de la fijación de fecha, hora y lugar para el acto y de la negativa opuesta por éste, quedando asentado lo sucedido en sede notarial. De ello se sigue, sin dificultad, que se trata de una constancia idónea para acreditar la comparecencia del interesado y su voluntad de obtener la formalización escrituraria, pero no de prueba directa del pago total del saldo de precio. 	</w:t>
        <w:br w:type="textWrapping"/>
      </w:r>
      <w:r>
        <w:rPr>
          <w:lang w:val="es-AR" w:eastAsia="es-AR" w:bidi="es-AR"/>
        </w:rPr>
        <w:t xml:space="preserve"> 	Por consiguiente, aun asignándole pleno valor demostrativo, su eficacia se proyecta sobre el recorrido del requerimiento de escrituración y no sobre el hecho específico y controvertido de la cancelación de las ocho cuotas pendientes.	</w:t>
        <w:br w:type="textWrapping"/>
      </w:r>
      <w:r>
        <w:rPr>
          <w:lang w:val="es-AR" w:eastAsia="es-AR" w:bidi="es-AR"/>
        </w:rPr>
        <w:t xml:space="preserve"> 	En cuanto a los recibos, la crítica tampoco logra desvirtuar lo resuelto. Es verdad que en la expresión de agravios se afirma que existieron </w:t>
      </w:r>
      <w:r>
        <w:rPr>
          <w:i/>
          <w:lang w:val="es-AR" w:eastAsia="es-AR" w:bidi="es-AR"/>
        </w:rPr>
        <w:t xml:space="preserve">“recibos de pago firmados por la vendedora”</w:t>
      </w:r>
      <w:r>
        <w:rPr>
          <w:lang w:val="es-AR" w:eastAsia="es-AR" w:bidi="es-AR"/>
        </w:rPr>
        <w:t xml:space="preserve"> y que éstos habrían sido oportunamente acompañados, no controvertidos ni impugnados por la contraria. Pero también lo es que, en las constancias sometidas al conocimiento de esta Alzada, no aparece individualizado su contenido concreto, ni sus fechas, importes, correlación con las ocho cuotas pactadas, ni su específica ubicación en el expediente, de modo tal que permita verificar en esta instancia su debida imputación y consecuente aptitud demostrativa respecto del cumplimiento íntegro invocado. </w:t>
      </w:r>
    </w:p>
    <w:p>
      <w:pPr>
        <w:pStyle w:val="[Normal]"/>
        <w:spacing w:line="360" w:lineRule="auto"/>
        <w:jc w:val="both"/>
        <w:rPr>
          <w:lang w:val="es-AR" w:eastAsia="es-AR" w:bidi="es-AR"/>
        </w:rPr>
      </w:pPr>
      <w:r>
        <w:rPr>
          <w:lang w:val="es-AR" w:eastAsia="es-AR" w:bidi="es-AR"/>
        </w:rPr>
        <w:t xml:space="preserve"> 	Así las cosas, el agravio se revela insuficiente para conmover el fundamento central del fallo. </w:t>
      </w:r>
    </w:p>
    <w:p>
      <w:pPr>
        <w:pStyle w:val="[Normal]"/>
        <w:spacing w:line="360" w:lineRule="auto"/>
        <w:jc w:val="both"/>
        <w:rPr>
          <w:lang w:val="es-AR" w:eastAsia="es-AR" w:bidi="es-AR"/>
        </w:rPr>
      </w:pPr>
      <w:r>
        <w:rPr>
          <w:lang w:val="es-AR" w:eastAsia="es-AR" w:bidi="es-AR"/>
        </w:rPr>
        <w:t xml:space="preserve"> 	Así pues, frente a la negativa expresa de la demandada acerca del pago íntegro del precio, y pesando sobre la actora la carga de acreditar el cumplimiento de la prestación a su cargo como presupuesto para exigir la escrituración, no se advierte en esta instancia la existencia de prueba documental inequívoca y verificable que imponga apartarse de la solución adoptada. </w:t>
      </w:r>
    </w:p>
    <w:p>
      <w:pPr>
        <w:pStyle w:val="[Normal]"/>
        <w:spacing w:line="360" w:lineRule="auto"/>
        <w:jc w:val="both"/>
        <w:rPr>
          <w:lang w:val="es-AR" w:eastAsia="es-AR" w:bidi="es-AR"/>
        </w:rPr>
      </w:pPr>
      <w:r>
        <w:rPr>
          <w:lang w:val="es-AR" w:eastAsia="es-AR" w:bidi="es-AR"/>
        </w:rPr>
        <w:t xml:space="preserve"> 	II.- En relación al segundo agravio, la recurrente sostiene que la sentencia de grado habría prescindido de ponderar la resolución interlocutoria n.º 452/2012, dictada el 29/08/2012 por el Juzgado Civil, Comercial, Concursal y de Familia, Secretaría n.º 1, de Villa Carlos Paz, en los autos </w:t>
      </w:r>
      <w:r>
        <w:rPr>
          <w:i/>
          <w:lang w:val="es-AR" w:eastAsia="es-AR" w:bidi="es-AR"/>
        </w:rPr>
        <w:t xml:space="preserve">“Micheri, Daniel c/ Brignolo, Norma Julia – Abreviado”</w:t>
      </w:r>
      <w:r>
        <w:rPr>
          <w:lang w:val="es-AR" w:eastAsia="es-AR" w:bidi="es-AR"/>
        </w:rPr>
        <w:t xml:space="preserve">, Expte. n.º 574218, en la cual -según refiere- se tuvo por aceptada la consignación de $59.731 y por abonado el total del precio convenido por la transferencia del 50% del inmueble objeto del boleto de fecha 08/10/2011. Afirma, en esa línea, que dicho antecedente jurisdiccional revestía autoridad de cosa juzgada formal y material y que, por ello, impedía concluir -como lo hizo la jueza- que la compradora no había acreditado el pago del precio.</w:t>
      </w:r>
    </w:p>
    <w:p>
      <w:pPr>
        <w:pStyle w:val="[Normal]"/>
        <w:spacing w:line="360" w:lineRule="auto"/>
        <w:jc w:val="both"/>
        <w:rPr>
          <w:lang w:val="es-AR" w:eastAsia="es-AR" w:bidi="es-AR"/>
        </w:rPr>
      </w:pPr>
      <w:r>
        <w:rPr>
          <w:lang w:val="es-AR" w:eastAsia="es-AR" w:bidi="es-AR"/>
        </w:rPr>
        <w:t xml:space="preserve"> 	Ahora bien, el punto no radica en negar, en abstracto, la eventual relevancia que podría revestir una resolución judicial firme que hubiera declarado aceptada una consignación y cancelado el saldo del precio. Es claro que, de encontrarse debidamente incorporada al expediente, una resolución de ese tenor constituiría un antecedente de gravitación para examinar la procedencia de la exceptio non adimpleti contractus opuesta por la demandada. 	</w:t>
        <w:br w:type="textWrapping"/>
      </w:r>
      <w:r>
        <w:rPr>
          <w:lang w:val="es-AR" w:eastAsia="es-AR" w:bidi="es-AR"/>
        </w:rPr>
        <w:t xml:space="preserve"> 	Empero, de las constancias examinadas en esta Alzada no surge la resolución misma como pieza documental o instrumental regularmente incorporada al proceso principal en términos que permitan tener por comprobado su contenido, alcance subjetivo y eficacia procesal.</w:t>
      </w:r>
    </w:p>
    <w:p>
      <w:pPr>
        <w:pStyle w:val="[Normal]"/>
        <w:spacing w:line="360" w:lineRule="auto"/>
        <w:jc w:val="both"/>
        <w:rPr>
          <w:lang w:val="es-AR" w:eastAsia="es-AR" w:bidi="es-AR"/>
        </w:rPr>
      </w:pPr>
      <w:r>
        <w:rPr>
          <w:lang w:val="es-AR" w:eastAsia="es-AR" w:bidi="es-AR"/>
        </w:rPr>
        <w:t xml:space="preserve"> 	Por su parte, la existencia y el contenido de la resolución 452/2012 emergen, en las constancias aquí disponibles, de la alegación formulada por la propia apelante en su expresión de agravios y en el apartado en que </w:t>
      </w:r>
      <w:r>
        <w:rPr>
          <w:i/>
          <w:lang w:val="es-AR" w:eastAsia="es-AR" w:bidi="es-AR"/>
        </w:rPr>
        <w:t xml:space="preserve">“reitera y acompaña -en su caso-” </w:t>
      </w:r>
      <w:r>
        <w:rPr>
          <w:lang w:val="es-AR" w:eastAsia="es-AR" w:bidi="es-AR"/>
        </w:rPr>
        <w:t xml:space="preserve">determinada prueba documental. Pero esa invocación unilateral no equivale, por sí sola, a la acreditación procesal de la resolución ni autoriza a este Tribunal a tener por demostrado, sin más, su texto íntegro, su firmeza, su alcance respecto de las partes de este juicio o su efectiva incorporación al expediente principal . Dicho de otro modo, lo que aquí aparece probado es la alegación recursiva de su existencia; no la resolución en sí misma como instrumento judicial agregado y susceptible de confrontación.</w:t>
      </w:r>
    </w:p>
    <w:p>
      <w:pPr>
        <w:pStyle w:val="[Normal]"/>
        <w:spacing w:line="360" w:lineRule="auto"/>
        <w:jc w:val="both"/>
        <w:rPr>
          <w:lang w:val="es-AR" w:eastAsia="es-AR" w:bidi="es-AR"/>
        </w:rPr>
      </w:pPr>
      <w:r>
        <w:rPr>
          <w:lang w:val="es-AR" w:eastAsia="es-AR" w:bidi="es-AR"/>
        </w:rPr>
        <w:t xml:space="preserve"> 	A ello se añade que la propia litis quedó trabada en torno a una negativa expresa del heredero demandado acerca del pago de las ocho cuotas restantes y a la invocación de la resolución contractual por falta de pago. En ese marco, para desplazar válidamente la conclusión del a quo no bastaba con invocar la existencia de una resolución dictada en otro proceso, sino que era menester demostrar su concreta incorporación a estos autos y su aptitud para producir efectos en esta causa. Esa demostración no surge de los elementos traídos a examen.</w:t>
      </w:r>
    </w:p>
    <w:p>
      <w:pPr>
        <w:pStyle w:val="[Normal]"/>
        <w:spacing w:line="360" w:lineRule="auto"/>
        <w:jc w:val="both"/>
        <w:rPr>
          <w:lang w:val="es-AR" w:eastAsia="es-AR" w:bidi="es-AR"/>
        </w:rPr>
      </w:pPr>
      <w:r>
        <w:rPr>
          <w:lang w:val="es-AR" w:eastAsia="es-AR" w:bidi="es-AR"/>
        </w:rPr>
        <w:t xml:space="preserve"> 	Cabe añadir, finalmente, y aún cuando se admitiera la hipótesis de efectiva incorporación del instrumento en debida forma, que la recurrente tampoco satisfizo la carga impugnatoria específica que pesaba sobre ella en esta instancia. En efecto, si su agravio reposaba en la supuesta omisión de valorar una pieza documental decisiva -en el caso, la resolución dictada en la sede de Villa Carlos Paz-, incumbía a la apelante individualizar circunstanciadamente su exacta localización dentro del expediente, indicando con precisión la presentación en que fue acompañada, su ubicación material o referencia concreta en las actuaciones y, en su caso, el momento procesal en que quedó incorporada al debate. </w:t>
      </w:r>
    </w:p>
    <w:p>
      <w:pPr>
        <w:pStyle w:val="[Normal]"/>
        <w:spacing w:line="360" w:lineRule="auto"/>
        <w:jc w:val="both"/>
        <w:rPr>
          <w:lang w:val="es-AR" w:eastAsia="es-AR" w:bidi="es-AR"/>
        </w:rPr>
      </w:pPr>
      <w:r>
        <w:rPr>
          <w:lang w:val="es-AR" w:eastAsia="es-AR" w:bidi="es-AR"/>
        </w:rPr>
        <w:t xml:space="preserve"> 	Tal exigencia se imponía con mayor rigor desde que la crítica atribuía al fallo una omisión probatoria específica. No basta, por ello, la mera mención genérica de la existencia del documento ni la transcripción parcial de su supuesto contenido en el escrito de agravios, pues la crítica concreta y razonada exige demostrar, mediante referencia precisa a las constancias de la causa, que el elemento invocado integraba efectivamente el material probatorio disponible al tiempo de sentenciar y que su omisión fue real y decisiva para la solución del litigio. La ausencia de esa individualización circunstanciada torna insuficiente el planteo recursivo también desde esta perspectiva formal.</w:t>
      </w:r>
    </w:p>
    <w:p>
      <w:pPr>
        <w:pStyle w:val="[Normal]"/>
        <w:spacing w:line="360" w:lineRule="auto"/>
        <w:jc w:val="both"/>
        <w:rPr>
          <w:lang w:val="es-AR" w:eastAsia="es-AR" w:bidi="es-AR"/>
        </w:rPr>
      </w:pPr>
      <w:r>
        <w:rPr>
          <w:lang w:val="es-AR" w:eastAsia="es-AR" w:bidi="es-AR"/>
        </w:rPr>
        <w:t xml:space="preserve"> 	En suma, el defecto del agravio consiste en confundir la invocación de un antecedente jurisdiccional con su acreditación procesal. Como de las constancias examinadas no surge la resolución interlocutoria n.º 452/2012 incorporada de manera autónoma y verificable al presente proceso, ni tampoco una referencia precisa en la sentencia o en el material probatorio que demuestre su efectiva agregación y valoración omitida, no es posible atribuir al fallo un apartamiento arbitrario de cosa juzgada alguna. </w:t>
      </w:r>
    </w:p>
    <w:p>
      <w:pPr>
        <w:pStyle w:val="[Normal]"/>
        <w:spacing w:line="360" w:lineRule="auto"/>
        <w:jc w:val="both"/>
        <w:rPr>
          <w:lang w:val="es-AR" w:eastAsia="es-AR" w:bidi="es-AR"/>
        </w:rPr>
      </w:pPr>
      <w:r>
        <w:rPr>
          <w:lang w:val="es-AR" w:eastAsia="es-AR" w:bidi="es-AR"/>
        </w:rPr>
        <w:t xml:space="preserve"> 	III.- En lo tocante al agravio relativo a la falta de tratamiento de la cesión del boleto y a la alegada errónea aplicación de la exceptio non adimpleti contractus, he de seguir similar tesitura.</w:t>
      </w:r>
    </w:p>
    <w:p>
      <w:pPr>
        <w:pStyle w:val="[Normal]"/>
        <w:spacing w:line="360" w:lineRule="auto"/>
        <w:jc w:val="both"/>
        <w:rPr>
          <w:lang w:val="es-AR" w:eastAsia="es-AR" w:bidi="es-AR"/>
        </w:rPr>
      </w:pPr>
      <w:r>
        <w:rPr>
          <w:lang w:val="es-AR" w:eastAsia="es-AR" w:bidi="es-AR"/>
        </w:rPr>
        <w:t xml:space="preserve"> 	En efecto, la recurrente sostiene que la sentencia omitió tratar adecuadamente la cesión del boleto de compraventa que invoca como fuente de la legitimación sustancial activa de Viviana Andrea Vottero y que tal omisión condujo, a su vez, a una aplicación errónea de la defensa de contrato no cumplido. Sin embargo, el planteo no logra demostrar un vicio relevante del pronunciamiento apelado.</w:t>
      </w:r>
    </w:p>
    <w:p>
      <w:pPr>
        <w:pStyle w:val="[Normal]"/>
        <w:spacing w:line="360" w:lineRule="auto"/>
        <w:jc w:val="both"/>
        <w:rPr>
          <w:lang w:val="es-AR" w:eastAsia="es-AR" w:bidi="es-AR"/>
        </w:rPr>
      </w:pPr>
      <w:r>
        <w:rPr>
          <w:lang w:val="es-AR" w:eastAsia="es-AR" w:bidi="es-AR"/>
        </w:rPr>
        <w:t xml:space="preserve"> 	Ante todo, no se advierte que la sentencia haya desconocido la legitimación procesal de la actora ni que haya rechazado la demanda por ausencia de titularidad activa. Antes bien, el fallo identificó expresamente como actores a Viviana Andrea Vottero y Daniel Micheri, tuvo por acreditada la existencia del boleto de compraventa de fecha 8/10/2011 y dio por cierto, en función de la forma en que quedó trabada la litis, que Norma Julia Brignolo vendió a ambos actores el 50% del inmueble allí individualizado, por el precio y en las condiciones allí estipuladas. De igual modo, el decisorio rechazó la acción no por falta de legitimación, sino porque consideró no acreditado el cumplimiento de la obligación de pago del precio, presupuesto indispensable para exigir la escrituración pretendida.</w:t>
      </w:r>
    </w:p>
    <w:p>
      <w:pPr>
        <w:pStyle w:val="[Normal]"/>
        <w:spacing w:line="360" w:lineRule="auto"/>
        <w:jc w:val="both"/>
        <w:rPr>
          <w:lang w:val="es-AR" w:eastAsia="es-AR" w:bidi="es-AR"/>
        </w:rPr>
      </w:pPr>
      <w:r>
        <w:rPr>
          <w:lang w:val="es-AR" w:eastAsia="es-AR" w:bidi="es-AR"/>
        </w:rPr>
        <w:t xml:space="preserve"> 	La sentencia de grado estructuró su razonamiento sobre una premisa diversa a la que ahora intenta combatir la apelante: destacó que la actora afirmó haber abonado el total del precio convenido, que la demandada negó categóricamente tal extremo y que, en la etapa probatoria, los demandantes no acreditaron ese cumplimiento. Sobre esa base, juzgó operativa la defensa de contrato no cumplido en los términos de los arts. 1201 del Código Civil entonces vigente y 375 del ordenamiento procesal. Es decir, el eje dirimente del fallo no pasó por la identidad subjetiva del acreedor de la obligación de escriturar, sino por la falta de prueba del cumplimiento de la prestación correlativa a cargo de la parte actora.</w:t>
      </w:r>
    </w:p>
    <w:p>
      <w:pPr>
        <w:pStyle w:val="[Normal]"/>
        <w:spacing w:line="360" w:lineRule="auto"/>
        <w:jc w:val="both"/>
        <w:rPr>
          <w:lang w:val="es-AR" w:eastAsia="es-AR" w:bidi="es-AR"/>
        </w:rPr>
      </w:pPr>
      <w:r>
        <w:rPr>
          <w:lang w:val="es-AR" w:eastAsia="es-AR" w:bidi="es-AR"/>
        </w:rPr>
        <w:t xml:space="preserve"> 	Desde esa perspectiva, aun si se admitiera la existencia y validez de la cesión de derechos invocada en favor de Viviana Andrea Vottero, ello no alteraría por sí solo la solución del caso. La cesión del boleto puede, en hipótesis, proyectarse sobre la titularidad del derecho a exigir la escrituración; pero no elimina ni modifica el presupuesto sustancial de procedencia de la acción consistente en el cumplimiento -o acreditación idónea del cumplimiento- de las obligaciones emergentes del contrato cedido. Dicho de otro modo, el cesionario no queda colocado, por el solo hecho de la cesión, en mejor situación que el cedente respecto de las defensas sustanciales oponibles derivadas del propio negocio transmitido. Por ello, mientras subsista incólume la conclusión judicial relativa a la falta de prueba del pago íntegro del precio, la cuestión referida a la cesión carece de idoneidad para revertir el rechazo de la demanda.</w:t>
      </w:r>
    </w:p>
    <w:p>
      <w:pPr>
        <w:pStyle w:val="[Normal]"/>
        <w:spacing w:line="360" w:lineRule="auto"/>
        <w:jc w:val="both"/>
        <w:rPr>
          <w:lang w:val="es-AR" w:eastAsia="es-AR" w:bidi="es-AR"/>
        </w:rPr>
      </w:pPr>
      <w:r>
        <w:rPr>
          <w:lang w:val="es-AR" w:eastAsia="es-AR" w:bidi="es-AR"/>
        </w:rPr>
        <w:t xml:space="preserve"> 	A ello se añade que la existencia misma del instrumento notarial de cesión del 4/11/2016 no surge aquí verificada a partir de una constancia objetiva y autónoma del expediente principal, sino de su invocación en la expresión de agravios y en el apartado recursivo donde la parte dice </w:t>
      </w:r>
      <w:r>
        <w:rPr>
          <w:i/>
          <w:lang w:val="es-AR" w:eastAsia="es-AR" w:bidi="es-AR"/>
        </w:rPr>
        <w:t xml:space="preserve">“reiterar y acompañar -en su caso-”</w:t>
      </w:r>
      <w:r>
        <w:rPr>
          <w:lang w:val="es-AR" w:eastAsia="es-AR" w:bidi="es-AR"/>
        </w:rPr>
        <w:t xml:space="preserve"> determinada documental, entre ella el </w:t>
      </w:r>
      <w:r>
        <w:rPr>
          <w:i/>
          <w:lang w:val="es-AR" w:eastAsia="es-AR" w:bidi="es-AR"/>
        </w:rPr>
        <w:t xml:space="preserve">“contrato de cesión de boleto de compraventa”</w:t>
      </w:r>
      <w:r>
        <w:rPr>
          <w:lang w:val="es-AR" w:eastAsia="es-AR" w:bidi="es-AR"/>
        </w:rPr>
        <w:t xml:space="preserve"> celebrado entre Daniel Micheri y Viviana Andrea Vottero. En cambio, de la sentencia apelada no resulta que dicho instrumento hubiera sido incorporado, individualizado y valorado en un tramo verificable de la causa; antes bien, la reconstrucción de la plataforma fáctica efectuada por la jueza de grado se asienta en que ambos actores comparecieron reclamando la escrituración por derecho propio y en relación con el boleto originario, sin efectuar consideración alguna sobre una cesión posterior específicamente acreditada en autos.</w:t>
      </w:r>
    </w:p>
    <w:p>
      <w:pPr>
        <w:pStyle w:val="[Normal]"/>
        <w:spacing w:line="360" w:lineRule="auto"/>
        <w:jc w:val="both"/>
        <w:rPr>
          <w:lang w:val="es-AR" w:eastAsia="es-AR" w:bidi="es-AR"/>
        </w:rPr>
      </w:pPr>
      <w:r>
        <w:rPr>
          <w:lang w:val="es-AR" w:eastAsia="es-AR" w:bidi="es-AR"/>
        </w:rPr>
        <w:t xml:space="preserve"> 	También aquí pesa sobre la apelante una carga impugnatoria específica que no ha sido satisfecha. Si el agravio descansaba en la supuesta omisión de valorar una pieza documental decisiva -esto es, la cesión instrumentada notarialmente- incumbía a la recurrente individualizar circunstanciadamente su exacta localización en el expediente, indicando la presentación concreta en que fue acompañada, su ubicación en las actuaciones y el modo en que había quedado incorporada al material probatorio disponible al tiempo de sentenciar. Esa precisión era particularmente exigible desde que la crítica reprocha al fallo haber prescindido de un documento cuya eficacia reputa dirimente para fundar la legitimación de una de las coactoras. La mera afirmación recursiva de que el instrumento </w:t>
      </w:r>
      <w:r>
        <w:rPr>
          <w:i/>
          <w:lang w:val="es-AR" w:eastAsia="es-AR" w:bidi="es-AR"/>
        </w:rPr>
        <w:t xml:space="preserve">“fue adjuntado a la causa”</w:t>
      </w:r>
      <w:r>
        <w:rPr>
          <w:lang w:val="es-AR" w:eastAsia="es-AR" w:bidi="es-AR"/>
        </w:rPr>
        <w:t xml:space="preserve">, sin su individualización objetiva y comprobable, no basta para demostrar una omisión valorativa apta para descalificar el pronunciamiento.</w:t>
      </w:r>
    </w:p>
    <w:p>
      <w:pPr>
        <w:pStyle w:val="[Normal]"/>
        <w:spacing w:line="360" w:lineRule="auto"/>
        <w:jc w:val="both"/>
        <w:rPr>
          <w:lang w:val="es-AR" w:eastAsia="es-AR" w:bidi="es-AR"/>
        </w:rPr>
      </w:pPr>
      <w:r>
        <w:rPr>
          <w:lang w:val="es-AR" w:eastAsia="es-AR" w:bidi="es-AR"/>
        </w:rPr>
        <w:t xml:space="preserve"> 	Por lo demás, tampoco es exacto que la falta de tratamiento expreso de la cesión torne, sin más, errónea la aplicación de la exceptio non adimpleti contractus. La defensa de contrato no cumplido fue opuesta por la demandada al sostener que los actores no habían satisfecho íntegramente el precio y que, por tal motivo, no se encontraban en condiciones de exigir la escrituración; esa fue, precisamente, la controversia sustancial abordada por el fallo. Siendo así, la eventual cesión del boleto no neutraliza por sí sola la defensa, pues ésta recae sobre el estado de cumplimiento de las prestaciones recíprocas emergentes del contrato base y no exclusivamente sobre la persona de quien demanda.</w:t>
      </w:r>
    </w:p>
    <w:p>
      <w:pPr>
        <w:pStyle w:val="[Normal]"/>
        <w:spacing w:line="360" w:lineRule="auto"/>
        <w:jc w:val="both"/>
        <w:rPr>
          <w:lang w:val="es-AR" w:eastAsia="es-AR" w:bidi="es-AR"/>
        </w:rPr>
      </w:pPr>
      <w:r>
        <w:rPr>
          <w:lang w:val="es-AR" w:eastAsia="es-AR" w:bidi="es-AR"/>
        </w:rPr>
        <w:t xml:space="preserve"> 	Resta decir que tampoco corresponde hacer lugar a la producción de prueba pretendida por la recurrente en esta instancia. Ello así, pues el planteo no se orienta a demostrar la concurrencia de alguno de los supuestos excepcionales que habilitan la apertura a prueba en la alzada, sino que persigue, en rigor, suplir las deficiencias de acreditación advertidas en la etapa oportuna. La apelante no justifica de modo suficiente la imposibilidad de haber acompañado o producido oportunamente esa prueba en la instancia de grado, ni individualiza un hecho nuevo o posteriormente conocido que torne admisible su incorporación tardía. En tales condiciones, admitir su producción importaría desnaturalizar el régimen del recurso de apelación, convirtiendo a esta sede en una nueva oportunidad para subsanar omisiones probatorias que pesaban sobre la propia parte interesada.</w:t>
      </w:r>
    </w:p>
    <w:p>
      <w:pPr>
        <w:pStyle w:val="[Normal]"/>
        <w:spacing w:line="360" w:lineRule="auto"/>
        <w:ind w:firstLine="850"/>
        <w:jc w:val="both"/>
        <w:rPr>
          <w:lang w:val="es-AR" w:eastAsia="es-AR" w:bidi="es-AR"/>
        </w:rPr>
      </w:pPr>
      <w:r>
        <w:rPr>
          <w:color w:val="000000"/>
          <w:lang w:val="es-AR" w:eastAsia="es-AR" w:bidi="es-AR"/>
        </w:rPr>
        <w:t xml:space="preserve">Así, es que se ha sostenido que ...</w:t>
      </w:r>
      <w:r>
        <w:rPr>
          <w:i/>
          <w:color w:val="000000"/>
          <w:lang w:val="es-AR" w:eastAsia="es-AR" w:bidi="es-AR"/>
        </w:rPr>
        <w:t xml:space="preserve">"La apertura a prueba del juicio en segunda instancia tiene carácter de excepción, pues las situaciones que autoriza dicha apertura son expresadas por la ley de modo taxativo y dentro de las hipótesis planteadas, la procedencia de la medida debe encararse en principio, con criterio estricto, a fin de no habilitar el nacimiento de una segunda instancia. Esto se debe, a que la facultad de replantear en la Alzada prueba no es una vía destinada a subsanar la indolencia en su producción oportuna, sino un medio indirecto de revisar la justicia de la decisión, dada su inapelabilidad, posibilitando su producción en caso de resultar injusta aquella declaración"</w:t>
      </w:r>
      <w:r>
        <w:rPr>
          <w:color w:val="000000"/>
          <w:lang w:val="es-AR" w:eastAsia="es-AR" w:bidi="es-AR"/>
        </w:rPr>
        <w:t xml:space="preserve"> (CC0001 SM 55499 RSI-61-9 I 1-4-2009 JUBA B1952362).</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850"/>
        <w:jc w:val="both"/>
        <w:rPr>
          <w:b/>
          <w:lang w:val="es-AR" w:eastAsia="es-AR" w:bidi="es-AR"/>
        </w:rPr>
      </w:pPr>
      <w:r>
        <w:rPr>
          <w:b/>
          <w:lang w:val="es-AR" w:eastAsia="es-AR" w:bidi="es-AR"/>
        </w:rPr>
        <w:t xml:space="preserve">	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850"/>
        <w:jc w:val="both"/>
        <w:rPr>
          <w:lang w:val="es-AR" w:eastAsia="es-AR" w:bidi="es-AR"/>
        </w:rPr>
      </w:pPr>
      <w:r>
        <w:rPr>
          <w:lang w:val="es-AR" w:eastAsia="es-AR" w:bidi="es-AR"/>
        </w:rPr>
        <w:t xml:space="preserve">	A la segunda cuestión el señor Juez Roberto Degleue dijo: de conformidad al resultado habido al tratarse la cuestión precedente, estimo que el pronunciamiento que corresponde dictar es: </w:t>
      </w:r>
    </w:p>
    <w:p>
      <w:pPr>
        <w:pStyle w:val="[Normal]"/>
        <w:spacing w:line="360" w:lineRule="auto"/>
        <w:jc w:val="both"/>
        <w:rPr>
          <w:lang w:val="es-AR" w:eastAsia="es-AR" w:bidi="es-AR"/>
        </w:rPr>
      </w:pPr>
      <w:r>
        <w:rPr>
          <w:lang w:val="es-AR" w:eastAsia="es-AR" w:bidi="es-AR"/>
        </w:rPr>
        <w:t xml:space="preserve">	1) Rechazar el recurso de apelación interpuesto por la parte recurrente, confirmando en un todo el pronunciamiento apelado.</w:t>
      </w:r>
    </w:p>
    <w:p>
      <w:pPr>
        <w:pStyle w:val="[Normal]"/>
        <w:spacing w:line="360" w:lineRule="auto"/>
        <w:jc w:val="both"/>
        <w:rPr>
          <w:lang w:val="es-AR" w:eastAsia="es-AR" w:bidi="es-AR"/>
        </w:rPr>
      </w:pPr>
      <w:r>
        <w:rPr>
          <w:lang w:val="es-AR" w:eastAsia="es-AR" w:bidi="es-AR"/>
        </w:rPr>
        <w:t xml:space="preserve"> 	2) Imponer las costas de Alzada a la recurrente vencida (art. 68 y 69 del CPCCBA).</w:t>
      </w:r>
    </w:p>
    <w:p>
      <w:pPr>
        <w:pStyle w:val="[Normal]"/>
        <w:spacing w:line="360" w:lineRule="auto"/>
        <w:jc w:val="both"/>
        <w:rPr>
          <w:lang w:val="es-AR" w:eastAsia="es-AR" w:bidi="es-AR"/>
        </w:rPr>
      </w:pPr>
      <w:r>
        <w:rPr>
          <w:lang w:val="es-AR" w:eastAsia="es-AR" w:bidi="es-AR"/>
        </w:rPr>
        <w:t xml:space="preserve"> 	3) Diferir la regulación de honorarios para su oportunidad (art. 31 de la ley 14.967).</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ASI LO VOTO. </w:t>
      </w:r>
    </w:p>
    <w:p>
      <w:pPr>
        <w:pStyle w:val="[Normal]"/>
        <w:spacing w:line="360" w:lineRule="auto"/>
        <w:jc w:val="both"/>
        <w:rPr>
          <w:lang w:val="es-AR" w:eastAsia="es-AR" w:bidi="es-AR"/>
        </w:rPr>
      </w:pPr>
      <w:r>
        <w:rPr>
          <w:lang w:val="es-AR" w:eastAsia="es-AR" w:bidi="es-AR"/>
        </w:rPr>
        <w:t xml:space="preserve">	A la misma cuestión el señor Juez Roberto Degleue por análogos fundamentos votó en el mismo sentido.-</w:t>
      </w:r>
    </w:p>
    <w:p>
      <w:pPr>
        <w:pStyle w:val="[Normal]"/>
        <w:spacing w:line="360" w:lineRule="auto"/>
        <w:jc w:val="both"/>
        <w:rPr>
          <w:lang w:val="es-AR" w:eastAsia="es-AR" w:bidi="es-AR"/>
        </w:rPr>
      </w:pPr>
      <w:r>
        <w:rPr>
          <w:lang w:val="es-AR" w:eastAsia="es-AR" w:bidi="es-AR"/>
        </w:rPr>
        <w:t xml:space="preserve"> 	Con lo que terminó el presente Acuerdo, dictándose la siguiente;</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S E N T E N C I A:</w:t>
      </w:r>
    </w:p>
    <w:p>
      <w:pPr>
        <w:pStyle w:val="[Normal]"/>
        <w:spacing w:line="360" w:lineRule="auto"/>
        <w:jc w:val="both"/>
        <w:rPr>
          <w:lang w:val="es-AR" w:eastAsia="es-AR" w:bidi="es-AR"/>
        </w:rPr>
      </w:pPr>
      <w:r>
        <w:rPr>
          <w:lang w:val="es-AR" w:eastAsia="es-AR" w:bidi="es-AR"/>
        </w:rPr>
        <w:t xml:space="preserve"> 	1) Rechazar el recurso de apelación interpuesto por la parte recurrente, confirmando en un todo el pronunciamiento apelado.</w:t>
      </w:r>
    </w:p>
    <w:p>
      <w:pPr>
        <w:pStyle w:val="[Normal]"/>
        <w:spacing w:line="360" w:lineRule="auto"/>
        <w:jc w:val="both"/>
        <w:rPr>
          <w:lang w:val="es-AR" w:eastAsia="es-AR" w:bidi="es-AR"/>
        </w:rPr>
      </w:pPr>
      <w:r>
        <w:rPr>
          <w:lang w:val="es-AR" w:eastAsia="es-AR" w:bidi="es-AR"/>
        </w:rPr>
        <w:t xml:space="preserve"> 	2) Imponer las costas de Alzada a la recurrente vencida (art. 68 y 69 del CPCCBA).</w:t>
      </w:r>
    </w:p>
    <w:p>
      <w:pPr>
        <w:pStyle w:val="[Normal]"/>
        <w:spacing w:line="360" w:lineRule="auto"/>
        <w:jc w:val="both"/>
        <w:rPr>
          <w:lang w:val="es-AR" w:eastAsia="es-AR" w:bidi="es-AR"/>
        </w:rPr>
      </w:pPr>
      <w:r>
        <w:rPr>
          <w:lang w:val="es-AR" w:eastAsia="es-AR" w:bidi="es-AR"/>
        </w:rPr>
        <w:t xml:space="preserve"> 	3) Diferir la regulación de honorarios para su oportunidad (art. 31 de la ley 14.967).</w:t>
      </w:r>
    </w:p>
    <w:p>
      <w:pPr>
        <w:pStyle w:val="[Normal]"/>
        <w:spacing w:line="360" w:lineRule="auto"/>
        <w:jc w:val="both"/>
        <w:rPr>
          <w:lang w:val="es-AR" w:eastAsia="es-AR" w:bidi="es-AR"/>
        </w:rPr>
      </w:pPr>
      <w:r>
        <w:rPr>
          <w:lang w:val="es-AR" w:eastAsia="es-AR" w:bidi="es-AR"/>
        </w:rPr>
        <w:t xml:space="preserve"> 	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lang w:val="es-AR" w:eastAsia="es-AR" w:bidi="es-AR"/>
        </w:rPr>
      </w:pP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23254718769@NOTIFICACIONES.SCBA.GOV.AR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20378751064@NOTIFICACIONES.SCBA.GOV.AR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28/04/2026 10:33:01 -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28/04/2026 11:42:10 -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28/04/2026 13:27:44 - MOREA Adrian Oscar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‰6y")è&amp;q!UÁŠ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228902090006810153</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28/04/2026 13:27:57 hs. bajo el número RS-67-2026 por MOREA ADRIAN OSCAR.</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character" w:styleId="STRONG">
    <w:name w:val="STRONG"/>
    <w:qFormat/>
    <w:rPr>
      <w:b/>
      <w:bCs/>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