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6005-26</w:t>
      </w:r>
      <w:r>
        <w:rPr>
          <w:lang w:val="es-AR" w:eastAsia="es-AR" w:bidi="es-AR"/>
        </w:rPr>
        <w:t xml:space="preserve"> caratulada </w:t>
      </w:r>
      <w:r>
        <w:rPr>
          <w:b/>
          <w:lang w:val="es-AR" w:eastAsia="es-AR" w:bidi="es-AR"/>
        </w:rPr>
        <w:t xml:space="preserve">"</w:t>
      </w:r>
      <w:r>
        <w:rPr>
          <w:b/>
          <w:color w:val="000000"/>
          <w:lang w:val="es-AR" w:eastAsia="es-AR" w:bidi="es-AR"/>
        </w:rPr>
        <w:t xml:space="preserve">G. M. L. C/ D. G. F. S/INCIDENTE DE ALIMENTOS</w:t>
      </w:r>
      <w:r>
        <w:rPr>
          <w:b/>
          <w:lang w:val="es-AR" w:eastAsia="es-AR" w:bidi="es-AR"/>
        </w:rPr>
        <w:t xml:space="preserve">"</w:t>
      </w:r>
      <w:r>
        <w:rPr>
          <w:lang w:val="es-AR" w:eastAsia="es-AR" w:bidi="es-AR"/>
        </w:rPr>
        <w:t xml:space="preserve">, Expte. N° 4263</w:t>
      </w:r>
      <w:r>
        <w:rPr>
          <w:color w:val="000000"/>
          <w:lang w:val="es-AR" w:eastAsia="es-AR" w:bidi="es-AR"/>
        </w:rPr>
        <w:t xml:space="preserve"> </w:t>
      </w:r>
      <w:r>
        <w:rPr>
          <w:lang w:val="es-AR" w:eastAsia="es-AR" w:bidi="es-AR"/>
        </w:rPr>
        <w:t xml:space="preserve">del Juzgado de Familia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w:t>
      </w:r>
      <w:r>
        <w:rPr>
          <w:color w:val="0000FF"/>
          <w:lang w:val="es-AR" w:eastAsia="es-AR" w:bidi="es-AR"/>
        </w:rPr>
        <w:t xml:space="preserve"> </w:t>
      </w:r>
      <w:r>
        <w:rPr>
          <w:lang w:val="es-AR" w:eastAsia="es-AR" w:bidi="es-AR"/>
        </w:rPr>
        <w:t xml:space="preserve">dijo:</w:t>
      </w:r>
    </w:p>
    <w:p>
      <w:pPr>
        <w:pStyle w:val="[Normal]"/>
        <w:spacing w:line="360" w:lineRule="auto"/>
        <w:ind w:firstLine="1134"/>
        <w:jc w:val="both"/>
        <w:rPr>
          <w:lang w:val="es-AR" w:eastAsia="es-AR" w:bidi="es-AR"/>
        </w:rPr>
      </w:pPr>
      <w:r>
        <w:rPr>
          <w:lang w:val="es-AR" w:eastAsia="es-AR" w:bidi="es-AR"/>
        </w:rPr>
        <w:t xml:space="preserve">El señor Juez de primera instancia hizo lugar a lo solicitado por el Sr. G. F. D. y decretó el cese de la cuota alimentaria homologada en fecha 17/06/2013 en favor de </w:t>
      </w:r>
      <w:r>
        <w:rPr>
          <w:lang w:val="es-AR" w:eastAsia="es-AR" w:bidi="es-AR"/>
        </w:rPr>
        <w:t xml:space="preserve">N. M. D.</w:t>
      </w:r>
      <w:r>
        <w:rPr>
          <w:lang w:val="es-AR" w:eastAsia="es-AR" w:bidi="es-AR"/>
        </w:rPr>
        <w:t xml:space="preserve">. Impuso las costas al peticionante y reguló los honorarios del Dr. Gerardo Miguel Archilla.</w:t>
      </w:r>
    </w:p>
    <w:p>
      <w:pPr>
        <w:pStyle w:val="[Normal]"/>
        <w:spacing w:line="360" w:lineRule="auto"/>
        <w:ind w:firstLine="1134"/>
        <w:jc w:val="both"/>
        <w:rPr>
          <w:lang w:val="es-AR" w:eastAsia="es-AR" w:bidi="es-AR"/>
        </w:rPr>
      </w:pPr>
      <w:r>
        <w:rPr>
          <w:lang w:val="es-AR" w:eastAsia="es-AR" w:bidi="es-AR"/>
        </w:rPr>
        <w:t xml:space="preserve">En disconformidad con lo resuelto apela el 4/2/2026 N. M. D. por propio derecho, recurso concedido en relación el día 5/2/2026, no habiendo la contraria contestado el traslado conferido.</w:t>
      </w:r>
    </w:p>
    <w:p>
      <w:pPr>
        <w:pStyle w:val="[Normal]"/>
        <w:spacing w:line="360" w:lineRule="auto"/>
        <w:ind w:firstLine="1134"/>
        <w:jc w:val="both"/>
        <w:rPr>
          <w:lang w:val="es-AR" w:eastAsia="es-AR" w:bidi="es-AR"/>
        </w:rPr>
      </w:pPr>
      <w:r>
        <w:rPr>
          <w:lang w:val="es-AR" w:eastAsia="es-AR" w:bidi="es-AR"/>
        </w:rPr>
        <w:t xml:space="preserve">Ingresados los autos a esta Alzada el 3/3/2026, en fecha 10/3/2026 se dictó el llamamiento de autos para resolver,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Aduce la recurrente que se encuentra cursando la carrera de Profesorado de Nivel Inicial en el Instituto de Formación Docente n° 121 de esta ciudad, tal como lo acreditara con el Certificado de alumna regular y en razón del receso de la administración, no pudo aún acompañar el Certificado correspondiente al año en curso. </w:t>
      </w:r>
    </w:p>
    <w:p>
      <w:pPr>
        <w:pStyle w:val="[Normal]"/>
        <w:spacing w:line="360" w:lineRule="auto"/>
        <w:ind w:firstLine="1134"/>
        <w:jc w:val="both"/>
        <w:rPr>
          <w:lang w:val="es-AR" w:eastAsia="es-AR" w:bidi="es-AR"/>
        </w:rPr>
      </w:pPr>
      <w:r>
        <w:rPr>
          <w:lang w:val="es-AR" w:eastAsia="es-AR" w:bidi="es-AR"/>
        </w:rPr>
        <w:t xml:space="preserve">Relata que este año cursará el cuarto y último año de la carrera, con una carga horaria que le imposibilita realizar alguna actividad laboral, pues por la mañana se realizan practicas en diferentes instituciones y de 13 a 19 horas varía la cursada según las materias. Peticiona se tengan por acreditados los extremos legales previstos por el art. 663 del CCCN, revocando la resolución atacada, y se ordene mantener la cuota alimentaria establecida a su favor, con costas al peticionante del cese.-</w:t>
      </w:r>
    </w:p>
    <w:p>
      <w:pPr>
        <w:pStyle w:val="[Normal]"/>
        <w:spacing w:line="360" w:lineRule="auto"/>
        <w:ind w:firstLine="1134"/>
        <w:jc w:val="both"/>
        <w:rPr>
          <w:lang w:val="es-AR" w:eastAsia="es-AR" w:bidi="es-AR"/>
        </w:rPr>
      </w:pPr>
      <w:r>
        <w:rPr>
          <w:lang w:val="es-AR" w:eastAsia="es-AR" w:bidi="es-AR"/>
        </w:rPr>
        <w:t xml:space="preserve">Entrando a resolver, el art. 658, segunda parte del CCyC establece, como regla general, que la obligación de los padres de prestar alimentos a sus hijos se extiende hasta la edad de veintiún años, salvo que el obligado acredite que el hijo mayor de edad cuenta con recursos suficientes para proveérselos por si mismo.-</w:t>
      </w:r>
    </w:p>
    <w:p>
      <w:pPr>
        <w:pStyle w:val="[Normal]"/>
        <w:spacing w:line="360" w:lineRule="auto"/>
        <w:ind w:firstLine="1134"/>
        <w:jc w:val="both"/>
        <w:rPr>
          <w:lang w:val="es-AR" w:eastAsia="es-AR" w:bidi="es-AR"/>
        </w:rPr>
      </w:pPr>
      <w:r>
        <w:rPr>
          <w:lang w:val="es-AR" w:eastAsia="es-AR" w:bidi="es-AR"/>
        </w:rPr>
        <w:t xml:space="preserve">Así entonces, y en virtud del principio de no regresividad en el reconocimiento de derechos, se mantiene el criterio que ya regía en el CC, que a través de la reforma de la ley 26.579 disminuyó la edad en la cual se adquiere la plena capacidad, fijándola en los 18 años -mismo criterio que el art. 25 CCyC- pero mantuvo la obligación alimentaria, hasta los 21 años (Herrera - Caramelo - Picasso. "Código Civil y Comercial de la Nación Comentado, T II, pag. 509, Infojus).-</w:t>
      </w:r>
    </w:p>
    <w:p>
      <w:pPr>
        <w:pStyle w:val="[Normal]"/>
        <w:spacing w:line="360" w:lineRule="auto"/>
        <w:ind w:firstLine="1134"/>
        <w:jc w:val="both"/>
        <w:rPr>
          <w:lang w:val="es-AR" w:eastAsia="es-AR" w:bidi="es-AR"/>
        </w:rPr>
      </w:pPr>
      <w:r>
        <w:rPr>
          <w:lang w:val="es-AR" w:eastAsia="es-AR" w:bidi="es-AR"/>
        </w:rPr>
        <w:t xml:space="preserve">En definitiva, cumplido los 21 años de edad se configura una causal legal de cesación de la cuota alimentaria (art. 658 2° párrafo CCC), edad a la cual la joven N.M.D. arribó el 25 de septiembre de 2026 (cfr. copia del Documento Nacional de Identidad acompañado por la recurrente en PDF, nacida el 25/9/2004).</w:t>
      </w:r>
    </w:p>
    <w:p>
      <w:pPr>
        <w:pStyle w:val="[Normal]"/>
        <w:spacing w:line="360" w:lineRule="auto"/>
        <w:ind w:firstLine="1134"/>
        <w:jc w:val="both"/>
        <w:rPr>
          <w:lang w:val="es-AR" w:eastAsia="es-AR" w:bidi="es-AR"/>
        </w:rPr>
      </w:pPr>
      <w:r>
        <w:rPr>
          <w:lang w:val="es-AR" w:eastAsia="es-AR" w:bidi="es-AR"/>
        </w:rPr>
        <w:t xml:space="preserve">Tal circunstancia determina el cese de la cuota alimentaria convenida en autos, habida cuenta que opera de pleno derecho y sin necesidad de formación de incidencia alguna (CCCom. Salta, sala I, sent. del 18-V-2020; LLeyonline AR/JUR/21809/2020; CCCom. SN, causa 8028, resol. 22-X-2019; id. causa 11.462, resol. del 29-XII-2016; CCCom. Rosario, sala III, sent. del 6-II-2018, LLeyonline AR/JUR/10832/2018; CCCom. 2°LP, sala I, causa 110.634, resol. del 19-II-2009; CNCiv. sala K, “G., C. E. I. c/De S.”, sent. del 05-V-2006, LLeyonline; id. sala C, “V. De M.”, sent. del 3-XII-1990, LL 1991-E, 290; esta Sala, causas 272.345, RSD 39/20; 274.608, RSD 34/21, sent. del 18-III-2021).</w:t>
      </w:r>
    </w:p>
    <w:p>
      <w:pPr>
        <w:pStyle w:val="[Normal]"/>
        <w:spacing w:line="360" w:lineRule="auto"/>
        <w:ind w:firstLine="1134"/>
        <w:jc w:val="both"/>
        <w:rPr>
          <w:lang w:val="es-AR" w:eastAsia="es-AR" w:bidi="es-AR"/>
        </w:rPr>
      </w:pPr>
      <w:r>
        <w:rPr>
          <w:lang w:val="es-AR" w:eastAsia="es-AR" w:bidi="es-AR"/>
        </w:rPr>
        <w:t xml:space="preserve">El presente proceso fue iniciado por la progenitora de la joven N.M. y se celebró un convenio en la audiencia, el cual fuera homologado en fecha 17/6/2013, el cual de acuerdo al término en que fuera solicitado, cubría hasta la mayoría de edad de la niña. </w:t>
      </w:r>
    </w:p>
    <w:p>
      <w:pPr>
        <w:pStyle w:val="[Normal]"/>
        <w:spacing w:line="360" w:lineRule="auto"/>
        <w:ind w:firstLine="1134"/>
        <w:jc w:val="both"/>
        <w:rPr>
          <w:lang w:val="es-AR" w:eastAsia="es-AR" w:bidi="es-AR"/>
        </w:rPr>
      </w:pPr>
      <w:r>
        <w:rPr>
          <w:lang w:val="es-AR" w:eastAsia="es-AR" w:bidi="es-AR"/>
        </w:rPr>
        <w:t xml:space="preserve">Para el caso, de que como lo requiere la recurrente, pretenda reclamar por derecho propio alimentos, pero ya en el marco excepcional previsto en el art. 663 del CCYC, tendrá que iniciar el mismo por tramite separado, pues es voluntad del progenitor, en atención al pedido hecho en autos, de cesar en su obligación alimentaria.</w:t>
      </w:r>
    </w:p>
    <w:p>
      <w:pPr>
        <w:pStyle w:val="[Normal]"/>
        <w:spacing w:line="360" w:lineRule="auto"/>
        <w:ind w:firstLine="1134"/>
        <w:jc w:val="both"/>
        <w:rPr>
          <w:lang w:val="es-AR" w:eastAsia="es-AR" w:bidi="es-AR"/>
        </w:rPr>
      </w:pPr>
      <w:r>
        <w:rPr>
          <w:lang w:val="es-AR" w:eastAsia="es-AR" w:bidi="es-AR"/>
        </w:rPr>
        <w:t xml:space="preserve"> Ello en razón de que la procedencia de los alimentos de quienes se encuentran entre los 21 y 25 años está expresamente condicionada a la concurrencia de extremos previstos en el código de fondo. Concretamente, quien los reclama debe probar: a) que cursa estudios, cursos o carreras de formación profesional o técnica, o de oficios o de artes; b) realiza su formación de modo sostenido, regular y con cierta eficacia, de acuerdo a las circunstancias de cada caso y que c) la realización de estos estudios o formación revista una intensidad tal que no le permita proveer a su sostenimiento (cf. Kemelmajer de Carlucci-Herrera-Lloveras, ob. cit., p. 176).</w:t>
      </w:r>
    </w:p>
    <w:p>
      <w:pPr>
        <w:pStyle w:val="[Normal]"/>
        <w:spacing w:line="360" w:lineRule="auto"/>
        <w:ind w:firstLine="1134"/>
        <w:jc w:val="both"/>
        <w:rPr>
          <w:lang w:val="es-AR" w:eastAsia="es-AR" w:bidi="es-AR"/>
        </w:rPr>
      </w:pPr>
      <w:r>
        <w:rPr>
          <w:lang w:val="es-AR" w:eastAsia="es-AR" w:bidi="es-AR"/>
        </w:rPr>
        <w:t xml:space="preserve">Es por ello que, a los fines de impedir que opere el cese de la cuota al cumplir los hijos mayores de edad los 21 años que como se dijera, opera de pleno derecho (art. 658 2º párr. CCyC) no basta la sola alegación en ese sentido del o los interesados al momento de plantear el recurso de apelación. Pues, incumbe al hijo mayor de edad –o progenitora con quien convive- instar la pretensión enderezada a su reconocimiento debiendo acreditar la concurrencia de las condiciones impuestas por la ley –esto es, que la capacitación en cuestión le impide proveerse de los medios para sostenerse en forma independiente debate que debe darse en el marco de un proceso bilateral que garantice el derecho de defensa de ambas partes (art. 663, CCC; art. 18 CN, 15 de su par provincial; 8 y 25 de la CADH; 14 del Pacto Internacional de Derechos Civiles y Políticos), marco en el cual –de así peticionarlo y resultar procedente- podrán disponerse las tutelas que se estimen pertinentes (arts. 663, 544, 706 CCyC).</w:t>
      </w:r>
    </w:p>
    <w:p>
      <w:pPr>
        <w:pStyle w:val="[Normal]"/>
        <w:spacing w:line="360" w:lineRule="auto"/>
        <w:ind w:firstLine="1134"/>
        <w:jc w:val="both"/>
        <w:rPr>
          <w:lang w:val="es-AR" w:eastAsia="es-AR" w:bidi="es-AR"/>
        </w:rPr>
      </w:pPr>
      <w:r>
        <w:rPr>
          <w:lang w:val="es-AR" w:eastAsia="es-AR" w:bidi="es-AR"/>
        </w:rPr>
        <w:t xml:space="preserve">Lo hasta aquí dicho, me llevan a proponer al acuerdo la confirmación del fallo,  con costas a la apelante perdidosa.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b/>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 la perdidosa (arts. 68/69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respectiva (art. 31 de la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 la perdidosa (arts. 68/69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respectiva (art. 31 de la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