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b/>
          <w:color w:val="000000"/>
          <w:lang w:val="es-AR" w:eastAsia="es-AR" w:bidi="es-AR"/>
        </w:rPr>
        <w:t xml:space="preserve">5889-25</w:t>
      </w:r>
      <w:r>
        <w:rPr>
          <w:lang w:val="es-AR" w:eastAsia="es-AR" w:bidi="es-AR"/>
        </w:rPr>
        <w:t xml:space="preserve"> caratulada </w:t>
      </w:r>
      <w:r>
        <w:rPr>
          <w:b/>
          <w:lang w:val="es-AR" w:eastAsia="es-AR" w:bidi="es-AR"/>
        </w:rPr>
        <w:t xml:space="preserve">"</w:t>
      </w:r>
      <w:r>
        <w:rPr>
          <w:b/>
          <w:color w:val="000000"/>
          <w:lang w:val="es-AR" w:eastAsia="es-AR" w:bidi="es-AR"/>
        </w:rPr>
        <w:t xml:space="preserve">CABRAL GABRIELA LORENA C/ RIO URUGUAY SEGUROS  Y OTRO/A S/ DAÑOS Y PERJ. AUTOM. C/LES. O MUERTE (EXC. ESTADO)</w:t>
      </w:r>
      <w:r>
        <w:rPr>
          <w:b/>
          <w:lang w:val="es-AR" w:eastAsia="es-AR" w:bidi="es-AR"/>
        </w:rPr>
        <w:t xml:space="preserve">"</w:t>
      </w:r>
      <w:r>
        <w:rPr>
          <w:lang w:val="es-AR" w:eastAsia="es-AR" w:bidi="es-AR"/>
        </w:rPr>
        <w:t xml:space="preserve">, Expte. N° 77.019 del Juzgado en lo Civil y Comercial N° 1,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rechazando la demanda incoada contra la Sra. Mónica Beatriz Lamadrid y contra la citada en garantía Río Uruguay Seguros Cooperativa Limitada. Aplicó las costas a la parte actora y difirió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Mediante la presentación de fecha 21 de octubre de 2025 apeló la actora, quien fundó su recurso prematuramente en el escrito de fecha 29/10/2025.</w:t>
      </w:r>
    </w:p>
    <w:p>
      <w:pPr>
        <w:pStyle w:val="[Normal]"/>
        <w:spacing w:line="360" w:lineRule="auto"/>
        <w:ind w:firstLine="1134"/>
        <w:jc w:val="both"/>
        <w:rPr>
          <w:lang w:val="es-AR" w:eastAsia="es-AR" w:bidi="es-AR"/>
        </w:rPr>
      </w:pPr>
      <w:r>
        <w:rPr>
          <w:lang w:val="es-AR" w:eastAsia="es-AR" w:bidi="es-AR"/>
        </w:rPr>
        <w:t xml:space="preserve">Conferido el traslado pertinente, fue contestado sólo por la citada en garantía en fecha 2/2/2026.</w:t>
      </w:r>
    </w:p>
    <w:p>
      <w:pPr>
        <w:pStyle w:val="[Normal]"/>
        <w:spacing w:line="360" w:lineRule="auto"/>
        <w:ind w:firstLine="1134"/>
        <w:jc w:val="both"/>
        <w:rPr>
          <w:lang w:val="es-AR" w:eastAsia="es-AR" w:bidi="es-AR"/>
        </w:rPr>
      </w:pPr>
      <w:r>
        <w:rPr>
          <w:lang w:val="es-AR" w:eastAsia="es-AR" w:bidi="es-AR"/>
        </w:rPr>
        <w:t xml:space="preserve">En fecha 5/2/2026 se dictó el llamamiento de autos,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actora presenta la fundamentación del recurso por ella opuesto,  alegando en primer lugar una errónea valoración de la prueba producida, y por la cual el sentenciante concluye que la culpa fue exclusiva del chofer de la ambulancia, sin ponderar adecuadamente las pruebas obrantes en autos.</w:t>
      </w:r>
    </w:p>
    <w:p>
      <w:pPr>
        <w:pStyle w:val="[Normal]"/>
        <w:spacing w:line="360" w:lineRule="auto"/>
        <w:ind w:firstLine="1134"/>
        <w:jc w:val="both"/>
        <w:rPr>
          <w:lang w:val="es-AR" w:eastAsia="es-AR" w:bidi="es-AR"/>
        </w:rPr>
      </w:pPr>
      <w:r>
        <w:rPr>
          <w:lang w:val="es-AR" w:eastAsia="es-AR" w:bidi="es-AR"/>
        </w:rPr>
        <w:t xml:space="preserve">Ello en tanto sostiene</w:t>
      </w:r>
      <w:r>
        <w:rPr>
          <w:b/>
          <w:lang w:val="es-AR" w:eastAsia="es-AR" w:bidi="es-AR"/>
        </w:rPr>
        <w:t xml:space="preserve"> </w:t>
      </w:r>
      <w:r>
        <w:rPr>
          <w:lang w:val="es-AR" w:eastAsia="es-AR" w:bidi="es-AR"/>
        </w:rPr>
        <w:t xml:space="preserve"> que, de la pericia mecánica, los testimonios aportados y la causa penal adjunta, surge claramente que el accidente se produjo por una maniobra imprudente del vehículo demandado, circunstancias que comprometen directamente la responsabilidad del demandado.</w:t>
      </w:r>
    </w:p>
    <w:p>
      <w:pPr>
        <w:pStyle w:val="[Normal]"/>
        <w:spacing w:line="360" w:lineRule="auto"/>
        <w:ind w:firstLine="1134"/>
        <w:jc w:val="both"/>
        <w:rPr>
          <w:lang w:val="es-AR" w:eastAsia="es-AR" w:bidi="es-AR"/>
        </w:rPr>
      </w:pPr>
      <w:r>
        <w:rPr>
          <w:lang w:val="es-AR" w:eastAsia="es-AR" w:bidi="es-AR"/>
        </w:rPr>
        <w:t xml:space="preserve">Dice</w:t>
      </w:r>
      <w:r>
        <w:rPr>
          <w:b/>
          <w:lang w:val="es-AR" w:eastAsia="es-AR" w:bidi="es-AR"/>
        </w:rPr>
        <w:t xml:space="preserve"> </w:t>
      </w:r>
      <w:r>
        <w:rPr>
          <w:lang w:val="es-AR" w:eastAsia="es-AR" w:bidi="es-AR"/>
        </w:rPr>
        <w:t xml:space="preserve">que el juez omite valorar las condiciones del tránsito, la señalización y la velocidad de ambos vehículos, como así que la ambulancia se dirigía con luces de emergencia y sirena, y que asi ha incurrido en una apreciación parcial de la prueba contraria a la sana crítica.</w:t>
      </w:r>
    </w:p>
    <w:p>
      <w:pPr>
        <w:pStyle w:val="[Normal]"/>
        <w:spacing w:line="360" w:lineRule="auto"/>
        <w:ind w:firstLine="1134"/>
        <w:jc w:val="both"/>
        <w:rPr>
          <w:lang w:val="es-AR" w:eastAsia="es-AR" w:bidi="es-AR"/>
        </w:rPr>
      </w:pPr>
      <w:r>
        <w:rPr>
          <w:lang w:val="es-AR" w:eastAsia="es-AR" w:bidi="es-AR"/>
        </w:rPr>
        <w:t xml:space="preserve">En segundo lugar, se agravia de que la sentencia aplica indebidamente un criterio de culpa exclusiva del tercero (chofer de la ambulancia), cuando correspondía analizar la cuestión bajo el régimen de responsabilidad objetiva del art. 1757 y ss. del Código Civil y Comercial, y de esa forma establecer algún tipo de concurrencia de culpas.</w:t>
      </w:r>
    </w:p>
    <w:p>
      <w:pPr>
        <w:pStyle w:val="[Normal]"/>
        <w:spacing w:line="360" w:lineRule="auto"/>
        <w:ind w:firstLine="1134"/>
        <w:jc w:val="both"/>
        <w:rPr>
          <w:lang w:val="es-AR" w:eastAsia="es-AR" w:bidi="es-AR"/>
        </w:rPr>
      </w:pPr>
      <w:r>
        <w:rPr>
          <w:lang w:val="es-AR" w:eastAsia="es-AR" w:bidi="es-AR"/>
        </w:rPr>
        <w:t xml:space="preserve">Seguidamente señala que el fallo, al omitir analizar las conclusiones técnicas periciales, carece de fundamentación suficiente, desatendiendo el juez la presunción de causalidad derivada de la intervención de una cosa riesgosa (el vehículo), prevista en el art. 1757 del CCyC, trasladando indebidamente a su parte la carga de acreditar la culpa del demandado, lo que constituye una errónea inversión de la carga probatoria</w:t>
      </w:r>
    </w:p>
    <w:p>
      <w:pPr>
        <w:pStyle w:val="[Normal]"/>
        <w:spacing w:line="360" w:lineRule="auto"/>
        <w:ind w:firstLine="1134"/>
        <w:jc w:val="both"/>
        <w:rPr>
          <w:lang w:val="es-AR" w:eastAsia="es-AR" w:bidi="es-AR"/>
        </w:rPr>
      </w:pPr>
      <w:r>
        <w:rPr>
          <w:lang w:val="es-AR" w:eastAsia="es-AR" w:bidi="es-AR"/>
        </w:rPr>
        <w:t xml:space="preserve">Por último, que el rechazo total de la demanda implica desconocer el principio de reparación plena (art. 1740 CCyC) y el carácter solidario de las obligaciones derivadas del hecho ilícito (art. 1758 CCyC), como asi la carga de las costas a su parte en forma total cuando tenia serias razones para litigar.</w:t>
      </w:r>
    </w:p>
    <w:p>
      <w:pPr>
        <w:pStyle w:val="[Normal]"/>
        <w:spacing w:line="360" w:lineRule="auto"/>
        <w:ind w:firstLine="1134"/>
        <w:jc w:val="both"/>
        <w:rPr>
          <w:lang w:val="es-AR" w:eastAsia="es-AR" w:bidi="es-AR"/>
        </w:rPr>
      </w:pPr>
      <w:r>
        <w:rPr>
          <w:lang w:val="es-AR" w:eastAsia="es-AR" w:bidi="es-AR"/>
        </w:rPr>
        <w:t xml:space="preserve">Por todo ello, peticiona se revoque la sentencia apelada, haciendo lugar a la demanda en todas sus partes, o al menos en la proporción que corresponda según la responsabilidad concurrente de las partes, con costas a la demandada.</w:t>
      </w:r>
    </w:p>
    <w:p>
      <w:pPr>
        <w:pStyle w:val="[Normal]"/>
        <w:spacing w:line="360" w:lineRule="auto"/>
        <w:ind w:firstLine="1134"/>
        <w:jc w:val="both"/>
        <w:rPr>
          <w:lang w:val="es-AR" w:eastAsia="es-AR" w:bidi="es-AR"/>
        </w:rPr>
      </w:pPr>
      <w:r>
        <w:rPr>
          <w:lang w:val="es-AR" w:eastAsia="es-AR" w:bidi="es-AR"/>
        </w:rPr>
        <w:t xml:space="preserve">Oportunamente, el apoderado de la citada en garantía contesta el memorial presentado por la apelante, solicitando en primer lugar la declaración de deserción del recurso, en tanto se limita a manifestar su disconformidad subjetiva con el fallo, calificándolo de "erróneo", pero sin rebatir los fundamentos lógicos y jurídicos del Juez de grado.</w:t>
      </w:r>
    </w:p>
    <w:p>
      <w:pPr>
        <w:pStyle w:val="[Normal]"/>
        <w:spacing w:line="360" w:lineRule="auto"/>
        <w:ind w:firstLine="1134"/>
        <w:jc w:val="both"/>
        <w:rPr>
          <w:lang w:val="es-AR" w:eastAsia="es-AR" w:bidi="es-AR"/>
        </w:rPr>
      </w:pPr>
      <w:r>
        <w:rPr>
          <w:lang w:val="es-AR" w:eastAsia="es-AR" w:bidi="es-AR"/>
        </w:rPr>
        <w:t xml:space="preserve">Señala la inexistencia de critica en el memorial, el cual resulta una reiteración de los argumentos de la demanda y una queja genérica sobre la valoración probatoria, sin señalar puntualmente en qué consiste el error del magistrado al aplicar la prioridad de paso.</w:t>
      </w:r>
    </w:p>
    <w:p>
      <w:pPr>
        <w:pStyle w:val="[Normal]"/>
        <w:spacing w:line="360" w:lineRule="auto"/>
        <w:ind w:firstLine="1134"/>
        <w:jc w:val="both"/>
        <w:rPr>
          <w:lang w:val="es-AR" w:eastAsia="es-AR" w:bidi="es-AR"/>
        </w:rPr>
      </w:pPr>
      <w:r>
        <w:rPr>
          <w:lang w:val="es-AR" w:eastAsia="es-AR" w:bidi="es-AR"/>
        </w:rPr>
        <w:t xml:space="preserve">En forma subsidiaria, contesta los agravios solicitando el rechazo de la apelación en tanto que la sentencia que se basa en la  Prioridad de Paso (Art. 41 Ley 24.449), es impecable al determinar que su asegurado circulaba por la derecha. La prioridad de paso de quien accede a una encrucijada por la derecha es absoluta y solo cede ante excepciones taxativas que no se han alegado y mucho menos  probado en autos.</w:t>
      </w:r>
    </w:p>
    <w:p>
      <w:pPr>
        <w:pStyle w:val="[Normal]"/>
        <w:spacing w:line="360" w:lineRule="auto"/>
        <w:ind w:firstLine="1134"/>
        <w:jc w:val="both"/>
        <w:rPr>
          <w:lang w:val="es-AR" w:eastAsia="es-AR" w:bidi="es-AR"/>
        </w:rPr>
      </w:pPr>
      <w:r>
        <w:rPr>
          <w:lang w:val="es-AR" w:eastAsia="es-AR" w:bidi="es-AR"/>
        </w:rPr>
        <w:t xml:space="preserve">Sostiene que se configura así la eximente de "responsabilidad por el hecho de un tercero por quien no se debe responder" (Art. 1754 y 1757 CCyC)". Por ello, no hay responsabilidad concurrente porque la conducta de la ambulancia fue la causa exclusiva y eficiente del daño y así lo determino y fundo el a-que en la sentencia dictada.</w:t>
      </w:r>
    </w:p>
    <w:p>
      <w:pPr>
        <w:pStyle w:val="[Normal]"/>
        <w:spacing w:line="360" w:lineRule="auto"/>
        <w:ind w:firstLine="1134"/>
        <w:jc w:val="both"/>
        <w:rPr>
          <w:lang w:val="es-AR" w:eastAsia="es-AR" w:bidi="es-AR"/>
        </w:rPr>
      </w:pPr>
      <w:r>
        <w:rPr>
          <w:lang w:val="es-AR" w:eastAsia="es-AR" w:bidi="es-AR"/>
        </w:rPr>
        <w:t xml:space="preserve">Por lo que solicita se declare desierto y/o rechace el recurso, con costas.</w:t>
      </w:r>
    </w:p>
    <w:p>
      <w:pPr>
        <w:pStyle w:val="[Normal]"/>
        <w:spacing w:line="360" w:lineRule="auto"/>
        <w:ind w:firstLine="1134"/>
        <w:jc w:val="both"/>
        <w:rPr>
          <w:lang w:val="es-AR" w:eastAsia="es-AR" w:bidi="es-AR"/>
        </w:rPr>
      </w:pPr>
      <w:r>
        <w:rPr>
          <w:lang w:val="es-AR" w:eastAsia="es-AR" w:bidi="es-AR"/>
        </w:rPr>
        <w:t xml:space="preserve">Preliminarmente, corresponde abordar el planteo relativo a la insuficiencia del recurso del actor planteado por el apoderado de Rio Uruguay Seguros (v. presentación electrónica de fecha 2/2/26).</w:t>
      </w:r>
    </w:p>
    <w:p>
      <w:pPr>
        <w:pStyle w:val="[Normal]"/>
        <w:spacing w:line="360" w:lineRule="auto"/>
        <w:ind w:firstLine="1134"/>
        <w:jc w:val="both"/>
        <w:rPr>
          <w:lang w:val="es-AR" w:eastAsia="es-AR" w:bidi="es-AR"/>
        </w:rPr>
      </w:pPr>
      <w:r>
        <w:rPr>
          <w:lang w:val="es-AR" w:eastAsia="es-AR" w:bidi="es-AR"/>
        </w:rPr>
        <w:t xml:space="preserve">Al respecto, ha de decirse que el escrito de accionante (v. presentación electrónica del 29/10/25) ha superado mínimamente el examen de admisibilidad, toda vez que se analizó con un criterio amplio de apreciación en salvaguarda de derechos de mayor jerarquía (art. 18 C.N.; MORELLO, Augusto Mario, “Los recursos extraordinarios y la eficacia del proceso”, v. I, pág. 175 a 180).</w:t>
      </w:r>
    </w:p>
    <w:p>
      <w:pPr>
        <w:pStyle w:val="[Normal]"/>
        <w:spacing w:line="360" w:lineRule="auto"/>
        <w:ind w:firstLine="1134"/>
        <w:jc w:val="both"/>
        <w:rPr>
          <w:lang w:val="es-AR" w:eastAsia="es-AR" w:bidi="es-AR"/>
        </w:rPr>
      </w:pPr>
      <w:r>
        <w:rPr>
          <w:lang w:val="es-AR" w:eastAsia="es-AR" w:bidi="es-AR"/>
        </w:rPr>
        <w:t xml:space="preserve">Ya en tarea y teniendo en cuenta la tenue exposición crítica evidenciada en el memorial de agravios, intentaré dar respuesta a las cuestiones planteadas de manera sucinta dado que muchas de ellas han sido tratadas con mucha profundidad en la sentencia de grado, por lo que explicaré las razones que me llevan a compartir la solución a la que arribó el a quo.</w:t>
      </w:r>
    </w:p>
    <w:p>
      <w:pPr>
        <w:pStyle w:val="[Normal]"/>
        <w:spacing w:line="360" w:lineRule="auto"/>
        <w:ind w:firstLine="1134"/>
        <w:jc w:val="both"/>
        <w:rPr>
          <w:lang w:val="es-AR" w:eastAsia="es-AR" w:bidi="es-AR"/>
        </w:rPr>
      </w:pPr>
      <w:r>
        <w:rPr>
          <w:lang w:val="es-AR" w:eastAsia="es-AR" w:bidi="es-AR"/>
        </w:rPr>
        <w:t xml:space="preserve">En primer lugar y tal como se expusiera en sentencia, entiendo que la mecánica del hecho desarrollada por el a quo, no ha sido objeto de crítica, por lo que he de considerar probado que "...</w:t>
      </w:r>
      <w:r>
        <w:rPr>
          <w:i/>
          <w:lang w:val="es-AR" w:eastAsia="es-AR" w:bidi="es-AR"/>
        </w:rPr>
        <w:t xml:space="preserve"> de las constancias de la causa penal IPP 1465/19 "Lamadrid Mónica Beatriz / Lima Fernando Daniel s/ Lesiones Culposas", la cual fuera ofrecida como prueba y tengo a la vista en este acto surge que el siniestro en cuestión se produjo el 15 de octubre de 2019 a las 10:00 hs. en la intersección del Bv. 17 y la calle 52 de la localidad deColón Provincia de Buenos Aires. Que, participaron del mismo un automotor Marca Chevrolet Meriva dominio ISD-143, conducida por la Sra. Mónica Beatriz Lamadrid y una ambulancia de SAME, marca Fiat Ducato dominio AA582ZE, conducida por el Sr. Fernando Daniel Lima quien iba acompañado de la médica en turno Sra. Patricia Pinheiro, la enfermera Sra. Graciela Lorena Cabral y la paciente Sra. Mónica Viviana Fernandez (ver fs. 5/18 de la causa penal).  Que, tomando en cuenta las imágenes de fs. 6/18, planimétrica de fs. 51 y fotografías de fs. 53/54, se desprende que el impacto entre los rodados fue el sector frontal delantero centro izquierdo del automotor Chevrolet y el sector trasero izquierdo de la unidad Fiat; en razón de ello que el vehículo Chevtrolet circulaba desde la derecha según el sentido de circulación del rodado Fiat. Además, el rodado Chevrolet circulaba por el Bv. 17, mientras que la ambulancia Fiat circulaba por calle 52.</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También que ha sido correcta la desestimación de los dichos  de los testigos ofrecidos en autos,  Rodríguez y  Selvini, en tanto que y como bien lo remarcó el a quo "... </w:t>
      </w:r>
      <w:r>
        <w:rPr>
          <w:i/>
          <w:lang w:val="es-AR" w:eastAsia="es-AR" w:bidi="es-AR"/>
        </w:rPr>
        <w:t xml:space="preserve">la primera basa su declaración en los propios dichos en los comentarios que le hiciera la parte actora y, el segundo de los testigos, al basar sus dichos en comentarios de terceras personas ajenas al siniestro (arts. 384 y 456 del C.P.C.)</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 En lo que respecta a la no valoración de estos testigos, he de destacar (como ya lo he señalado en otras oportunidades ),que "... </w:t>
      </w:r>
      <w:r>
        <w:rPr>
          <w:i/>
          <w:lang w:val="es-AR" w:eastAsia="es-AR" w:bidi="es-AR"/>
        </w:rPr>
        <w:t xml:space="preserve"> la apreciación de los elementos probatorios, la selección de los mismos y la atribución de la jerarquía que les corresponde es facultad propia de los jueces de grado, quienes pueden sin incurrir en absurdo, inclinarse hacia unas y descartar otras, sin necesidad de expresar en la sentencia la valoración de todas (arts. 31 bis, ley 5.827, texto según ley 13.812 y 279, C.P.C.C.) (SCBA LP Rc 119965 I 01/07/2015,  Rc 119606 I 24/06/2015 ,  Rc 119777 I 03/06/2015, LP Rc 119696 I 06/05/2015, Rc 119401 I 26/03/2015,  Rc 118911 I 04/02/2015, Rc 119089 I 10/12/2014, Rc 118800 I 02/07/2014,  Rc 109856 I 06/06/2011, Rc 110698 I 01/06/2011)  JUBA  B3901559</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lo que debo agregar que ningún testigo presencial del hecho se ha presentado en autos ni tampoco en la causa penal ya mencionada,  que fuera ofrecida como prueba informativa y que en este acto tengo a la vista (IPP 1465/19 "Lamadrid Mónica Beatriz / Lima Fernando Daniel s/ Lesiones Culposas").</w:t>
      </w:r>
    </w:p>
    <w:p>
      <w:pPr>
        <w:pStyle w:val="[Normal]"/>
        <w:spacing w:line="360" w:lineRule="auto"/>
        <w:ind w:firstLine="1134"/>
        <w:jc w:val="both"/>
        <w:rPr>
          <w:lang w:val="es-AR" w:eastAsia="es-AR" w:bidi="es-AR"/>
        </w:rPr>
      </w:pPr>
      <w:r>
        <w:rPr>
          <w:lang w:val="es-AR" w:eastAsia="es-AR" w:bidi="es-AR"/>
        </w:rPr>
        <w:t xml:space="preserve">Esa falta de testigos directos, como de otra prueba que pudiera echar luz acerca de las condiciones de la conducción del vehículo que según la actora se encontraba en emergencia, impiden tener por acreditado si en verdad se desplaza con las luces y sirenas encendidas (como debiera haber sido), siendo que era simple la posibilidad de tratar de probar ello tan solo con acercar el testimonio del conductor de la ambulancia, o de la médica que se encontraba también en el vehículo (según constancias obrantes en causa penal), sin embargo, nada de ello se aportó al proceso, siendo carga de la parte demandante tal tarea probatoria (Art. 375 del C.P.C. y C.).</w:t>
      </w:r>
    </w:p>
    <w:p>
      <w:pPr>
        <w:pStyle w:val="[Normal]"/>
        <w:spacing w:line="360" w:lineRule="auto"/>
        <w:ind w:firstLine="1134"/>
        <w:jc w:val="both"/>
        <w:rPr>
          <w:lang w:val="es-AR" w:eastAsia="es-AR" w:bidi="es-AR"/>
        </w:rPr>
      </w:pPr>
      <w:r>
        <w:rPr>
          <w:lang w:val="es-AR" w:eastAsia="es-AR" w:bidi="es-AR"/>
        </w:rPr>
        <w:t xml:space="preserve">Es por ello que, se advierte que el disgusto expuesto en el memorial, aunque sucinto, se centra en la cuestión de la responsabilidad en el hecho motivo de autos y que llevara al a quo al rechazo total de la demanda incoada, en base a la prioridad de paso por la derecha.</w:t>
      </w:r>
    </w:p>
    <w:p>
      <w:pPr>
        <w:pStyle w:val="[Normal]"/>
        <w:spacing w:line="360" w:lineRule="auto"/>
        <w:ind w:firstLine="1134"/>
        <w:jc w:val="both"/>
        <w:rPr>
          <w:lang w:val="es-AR" w:eastAsia="es-AR" w:bidi="es-AR"/>
        </w:rPr>
      </w:pPr>
      <w:r>
        <w:rPr>
          <w:lang w:val="es-AR" w:eastAsia="es-AR" w:bidi="es-AR"/>
        </w:rPr>
        <w:t xml:space="preserve">Ello, en tanto que las probanzas rendidas indican que el demandado venía circulando por su derecha y al respecto debo señalar que la preferencia de paso del conductor que arriba por la derecha de la encrucijada, si bien no funciona en el vacío, constituye una regla fundamental y también de carácter objetivo, en orden a analizar y decidir la responsabilidad que corresponde en una colisión entre automotores, conforme la normativa señalada. "Es que se trata, no solo de un principio de seguridad en el tránsito, sino de una regla de convivencia social establecida por el legislador. Además, las normas de tránsito no son puras declaraciones académicas o requisitos para aprobar un examen habilitante, sino que están dadas para ser cumplidas, por lo que corresponde considerarlas en el plexo de circunstancias atinentes, en oportunidad de decidir la responsabilidad".  (CCI Art. 13 CC0201LP, B 79926, RSD 96-95, S, 2-5-1995, Juez CRESPI (SD) CARATULA Maiztegui, Miguel Angel c/Benvenuto Julio César y otro s/Daños y Perjuicios MAG Votantes Crespi-Sosa).-</w:t>
      </w:r>
    </w:p>
    <w:p>
      <w:pPr>
        <w:pStyle w:val="[Normal]"/>
        <w:spacing w:line="360" w:lineRule="auto"/>
        <w:ind w:firstLine="1134"/>
        <w:jc w:val="both"/>
        <w:rPr>
          <w:lang w:val="es-AR" w:eastAsia="es-AR" w:bidi="es-AR"/>
        </w:rPr>
      </w:pPr>
      <w:r>
        <w:rPr>
          <w:lang w:val="es-AR" w:eastAsia="es-AR" w:bidi="es-AR"/>
        </w:rPr>
        <w:t xml:space="preserve">De tal manera y como lo destacara el  a quo, "</w:t>
      </w:r>
      <w:r>
        <w:rPr>
          <w:i/>
          <w:lang w:val="es-AR" w:eastAsia="es-AR" w:bidi="es-AR"/>
        </w:rPr>
        <w:t xml:space="preserve">Quien pretende soslayar la regla que obliga a ceder el paso del vehículo que se presenta por la derecha, debe aportar concluyentes pruebas en apoyo de su tesis, pues se trata de nada menos que de invalidar la aplicación de una norma positiva.  Y esto es así, porque el conductor que tiene preferencia de paso puede creer, con justa razón que quien guía el otro automóvil, obligado a conocer las disposiciones vigentes se lo cedería (art. 20 Cód. Civil), por lo que continúa su marcha normal y al ocurrir la transgresión se ve sorprendido por esa irregular conducta, lo cual le impide contar con el tiempo necesario para maniobrar y evitar el choque</w:t>
      </w:r>
      <w:r>
        <w:rPr>
          <w:lang w:val="es-AR" w:eastAsia="es-AR" w:bidi="es-AR"/>
        </w:rPr>
        <w:t xml:space="preserve">" (Cfr C.C. L.P. B 69976 R.S.D. 188-90).-</w:t>
      </w:r>
    </w:p>
    <w:p>
      <w:pPr>
        <w:pStyle w:val="[Normal]"/>
        <w:spacing w:line="360" w:lineRule="auto"/>
        <w:ind w:firstLine="1134"/>
        <w:jc w:val="both"/>
        <w:rPr>
          <w:lang w:val="es-AR" w:eastAsia="es-AR" w:bidi="es-AR"/>
        </w:rPr>
      </w:pPr>
      <w:r>
        <w:rPr>
          <w:lang w:val="es-AR" w:eastAsia="es-AR" w:bidi="es-AR"/>
        </w:rPr>
        <w:t xml:space="preserve">Por ello, es que la regla de prioridad de paso debe ser sometida a la valoración derivada de las circunstancias, y de éstas se desprende como acreditado de las constancias reseñadas de la causa penal, ingresadas válidamente a este proceso mediante la instrumental y que se tornara prueba común de las partes; que dan por cierto que el vehículo conducido por la demandada contaba con la prioridad de paso.</w:t>
      </w:r>
    </w:p>
    <w:p>
      <w:pPr>
        <w:pStyle w:val="[Normal]"/>
        <w:spacing w:line="360" w:lineRule="auto"/>
        <w:ind w:firstLine="1134"/>
        <w:jc w:val="both"/>
        <w:rPr>
          <w:lang w:val="es-AR" w:eastAsia="es-AR" w:bidi="es-AR"/>
        </w:rPr>
      </w:pPr>
      <w:r>
        <w:rPr>
          <w:lang w:val="es-AR" w:eastAsia="es-AR" w:bidi="es-AR"/>
        </w:rPr>
        <w:t xml:space="preserve">En efecto, como también lo dejara claro el juez de la anterior instancia y que resulta dirimente en la resolución del caso es que  ".... n</w:t>
      </w:r>
      <w:r>
        <w:rPr>
          <w:i/>
          <w:lang w:val="es-AR" w:eastAsia="es-AR" w:bidi="es-AR"/>
        </w:rPr>
        <w:t xml:space="preserve">o se acreditó por ningún medio de prueba, ni fue argumentado por la parte actora que la ambulancia circulara con las balizas encendidas y sirena activada; ello con la finalidad de anoticiar a los terceros su presencia, la urgencia y la prioridad en su circulación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recurrente señala que el juez "omite valorar las condiciones del tránsito, la señalización y la velocidad de ambos vehículos..", pero en concreto cuales serian estas deficiencias nada expone.</w:t>
      </w:r>
    </w:p>
    <w:p>
      <w:pPr>
        <w:pStyle w:val="[Normal]"/>
        <w:spacing w:line="360" w:lineRule="auto"/>
        <w:ind w:firstLine="1134"/>
        <w:jc w:val="both"/>
        <w:rPr>
          <w:lang w:val="es-AR" w:eastAsia="es-AR" w:bidi="es-AR"/>
        </w:rPr>
      </w:pPr>
      <w:r>
        <w:rPr>
          <w:lang w:val="es-AR" w:eastAsia="es-AR" w:bidi="es-AR"/>
        </w:rPr>
        <w:t xml:space="preserve">Asimismo, debo resaltar que el solo carácter de embestidor físico no define por si mismo la responsabilidad en el evento, cuando ello no tiene injerencia en cuanto a la prioridad de paso del vehículo que circulaba por su derecha, cuando no se comprobó eximente alguna de la regla  (art. 41 ley Nacional de Tránsito, por adhesión de la Provincia de Buenos Aires mediante art. 1 de la Ley 13.927).</w:t>
      </w:r>
    </w:p>
    <w:p>
      <w:pPr>
        <w:pStyle w:val="[Normal]"/>
        <w:spacing w:line="360" w:lineRule="auto"/>
        <w:ind w:firstLine="1134"/>
        <w:jc w:val="both"/>
        <w:rPr>
          <w:lang w:val="es-AR" w:eastAsia="es-AR" w:bidi="es-AR"/>
        </w:rPr>
      </w:pPr>
      <w:r>
        <w:rPr>
          <w:lang w:val="es-AR" w:eastAsia="es-AR" w:bidi="es-AR"/>
        </w:rPr>
        <w:t xml:space="preserve">Es entonces que considero correcta la conclusión arribada por parte del a quo, en cuanto a que :" </w:t>
      </w:r>
      <w:r>
        <w:rPr>
          <w:i/>
          <w:lang w:val="es-AR" w:eastAsia="es-AR" w:bidi="es-AR"/>
        </w:rPr>
        <w:t xml:space="preserve">el actuar del conductor de la ambulancia, Sr. Lima, quien circulaba sin tener cuidado y previsión, sin tener en cuenta los riesgos propios de la circulación y demás circunstancias del tránsito y sin llevar a cabo las acciones que las circunstancias exigían, es decir, balizas y sirena encendidas, circulando de una manera desaprensiva, negligente e imprudente, configuró un obrar culpable, de una entidad tal que permite asegurar que se ha interrumpido de forma total el nexo de causalidad que exige la actuación de la responsabilidad en los artículos 1757, 1758, 1769 del Código Fondal.  En consecuencia, aplicando esos principios, teniendo en cuenta la culpa, en tanto negligencia -se da cuando el sujeto omite cierta actividad que habría evitado el resultado dañoso-, debo concluir que en el caso que nos ocupa, ha existido culpa de un tercero, conductora de la ambulancia marca Fiat Ducato dominio AA582ZE, Sr. Lima; por la cual ni la demandada, ni la citada en garantía deben responder. Por ello, se releva así idónea su conducta para fulminar en forma completa todo nexo causal adecuado entre el hecho y el daño</w:t>
      </w:r>
      <w:r>
        <w:rPr>
          <w:lang w:val="es-AR" w:eastAsia="es-AR" w:bidi="es-AR"/>
        </w:rPr>
        <w:t xml:space="preserve"> </w:t>
      </w:r>
      <w:r>
        <w:rPr>
          <w:i/>
          <w:lang w:val="es-AR" w:eastAsia="es-AR" w:bidi="es-AR"/>
        </w:rPr>
        <w:t xml:space="preserve">(arts. 1757, 1758, 1769 y Ccs. del C.C.C.N.).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modo que y no habiéndose acreditado excepción alguna a la regla de la prioridad de paso de quien circula desde la derecha, como en este caso lo hacia la demandada, es que ha sido correcto lo sentenciado por el a quo, por lo que propongo al acuerdo la confirmación de la sentencia primera, en tanto desestimara la demanda.</w:t>
      </w:r>
    </w:p>
    <w:p>
      <w:pPr>
        <w:pStyle w:val="[Normal]"/>
        <w:spacing w:line="360" w:lineRule="auto"/>
        <w:ind w:firstLine="1134"/>
        <w:jc w:val="both"/>
        <w:rPr>
          <w:lang w:val="es-AR" w:eastAsia="es-AR" w:bidi="es-AR"/>
        </w:rPr>
      </w:pPr>
      <w:r>
        <w:rPr>
          <w:lang w:val="es-AR" w:eastAsia="es-AR" w:bidi="es-AR"/>
        </w:rPr>
        <w:t xml:space="preserve">En cuanto a la imposición de costas establecida en la instancia de origen, he de señalar que atento el principio rector en la materia -costas al vencido- corresponde confirmar lo decidido por el a-quo respecto de dicho punto, en tanto no se aprecia supuesto alguno que amerite excepcionar el mismo (art. 68 del C.P.C. y 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con costas a la apelante vencida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con costas a la apelante vencida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07/04/2026 10:22:15 -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07/04/2026 11:27:24 -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07/04/2026 12:25:28 -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‰76")è&amp;v57~Š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232202090006862123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07/04/2026 12:25:43 hs. bajo el número RS-46-2026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