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Cámara de Apelación en lo Civil y Comercial del Departamento Judicial Pergamino, para dictar sentencia en la causa N° </w:t>
      </w:r>
      <w:r>
        <w:rPr>
          <w:b/>
          <w:color w:val="000000"/>
          <w:lang w:val="es-AR" w:eastAsia="es-AR" w:bidi="es-AR"/>
        </w:rPr>
        <w:t xml:space="preserve">5926-25</w:t>
      </w:r>
      <w:r>
        <w:rPr>
          <w:lang w:val="es-AR" w:eastAsia="es-AR" w:bidi="es-AR"/>
        </w:rPr>
        <w:t xml:space="preserve"> caratulada </w:t>
      </w:r>
      <w:r>
        <w:rPr>
          <w:b/>
          <w:lang w:val="es-AR" w:eastAsia="es-AR" w:bidi="es-AR"/>
        </w:rPr>
        <w:t xml:space="preserve">"</w:t>
      </w:r>
      <w:r>
        <w:rPr>
          <w:b/>
          <w:color w:val="000000"/>
          <w:lang w:val="es-AR" w:eastAsia="es-AR" w:bidi="es-AR"/>
        </w:rPr>
        <w:t xml:space="preserve">MACEIRA CLAUDIO Y OTRO/A C/ GOETTE ALAN FACUNDO Y OTRO/A S/ DAÑOS Y PERJ.AUTOM. C/LES. O MUERTE (EXC.ESTADO)</w:t>
      </w:r>
      <w:r>
        <w:rPr>
          <w:b/>
          <w:lang w:val="es-AR" w:eastAsia="es-AR" w:bidi="es-AR"/>
        </w:rPr>
        <w:t xml:space="preserve">"</w:t>
      </w:r>
      <w:r>
        <w:rPr>
          <w:lang w:val="es-AR" w:eastAsia="es-AR" w:bidi="es-AR"/>
        </w:rPr>
        <w:t xml:space="preserve">, Expte. N° 66792</w:t>
      </w:r>
      <w:r>
        <w:rPr>
          <w:color w:val="000000"/>
          <w:lang w:val="es-AR" w:eastAsia="es-AR" w:bidi="es-AR"/>
        </w:rPr>
        <w:t xml:space="preserve"> </w:t>
      </w:r>
      <w:r>
        <w:rPr>
          <w:lang w:val="es-AR" w:eastAsia="es-AR" w:bidi="es-AR"/>
        </w:rPr>
        <w:t xml:space="preserve">del Juzgado Civil y Comercial N° 3</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sede hizo lugar a la demanda instaurada por Juan Alberto Maceira y Claudio Maceira, condenando en consecuencia a Alan Facundo Goette y a IAPSER SEGUROS a abonar a los actores la suma de veinte  millones doscientos cuarenta y cinco mil  pesos ($ 20.245.000); con más sus intereses. Aplicó las costas a la parte demandada vencida y difirió la regulación de honorarios de los letrados intervinientes  y  de  los  peritos.</w:t>
      </w:r>
    </w:p>
    <w:p>
      <w:pPr>
        <w:pStyle w:val="[Normal]"/>
        <w:spacing w:line="360" w:lineRule="auto"/>
        <w:ind w:firstLine="1134"/>
        <w:jc w:val="both"/>
        <w:rPr>
          <w:lang w:val="es-AR" w:eastAsia="es-AR" w:bidi="es-AR"/>
        </w:rPr>
      </w:pPr>
      <w:r>
        <w:rPr>
          <w:lang w:val="es-AR" w:eastAsia="es-AR" w:bidi="es-AR"/>
        </w:rPr>
        <w:t xml:space="preserve">Dicho decisorio dio lugar a los recursos de apelación interpuestos por  el apoderado de la parte actora el 19/11/2025 y por el apoderado del INSTITUTO AUTARQUICO PROVINCIAL DEL SEGURO DE ENTRE RIOS (IASPER) el día 18/11/2025, recursos concedidos libremente el 20/11/2025.</w:t>
      </w:r>
    </w:p>
    <w:p>
      <w:pPr>
        <w:pStyle w:val="[Normal]"/>
        <w:spacing w:line="360" w:lineRule="auto"/>
        <w:ind w:firstLine="1134"/>
        <w:jc w:val="both"/>
        <w:rPr>
          <w:lang w:val="es-AR" w:eastAsia="es-AR" w:bidi="es-AR"/>
        </w:rPr>
      </w:pPr>
      <w:r>
        <w:rPr>
          <w:lang w:val="es-AR" w:eastAsia="es-AR" w:bidi="es-AR"/>
        </w:rPr>
        <w:t xml:space="preserve">En la misma fecha ingresan las actuaciones a este organismo. El 2/12/2025 se ordena a la parte actora expresar agravios, lo que se cumple el 12/12/2025; asimismo, se tiene por presentado en forma anticipada el memorial por el apoderado de IASPER. El 16/12/2025 se confieren traslados recíprocos, los que son contestados el 26 y el 30/12/2025 por las representaciones letradas de la parte actora y demandada, respectivamente. Finalmente, el 3/2/2026 se llaman autos para sentencia, providencia que, al encontrarse firme, deja la causa en estado de ser resuelta.</w:t>
      </w:r>
    </w:p>
    <w:p>
      <w:pPr>
        <w:pStyle w:val="[Normal]"/>
        <w:spacing w:line="360" w:lineRule="auto"/>
        <w:ind w:firstLine="1134"/>
        <w:jc w:val="both"/>
        <w:rPr>
          <w:lang w:val="es-AR" w:eastAsia="es-AR" w:bidi="es-AR"/>
        </w:rPr>
      </w:pPr>
      <w:r>
        <w:rPr>
          <w:lang w:val="es-AR" w:eastAsia="es-AR" w:bidi="es-AR"/>
        </w:rPr>
        <w:t xml:space="preserve">La parte actora circunscribe su agravio al monto indemnizatorio fijado en concepto de daño moral, por considerarlo insuficiente en atención a las afecciones padecidas como consecuencia del accidente, las que describe en su memorial, al que se remite en honor a la brevedad.</w:t>
      </w:r>
    </w:p>
    <w:p>
      <w:pPr>
        <w:pStyle w:val="[Normal]"/>
        <w:spacing w:line="360" w:lineRule="auto"/>
        <w:ind w:firstLine="1134"/>
        <w:jc w:val="both"/>
        <w:rPr>
          <w:lang w:val="es-AR" w:eastAsia="es-AR" w:bidi="es-AR"/>
        </w:rPr>
      </w:pPr>
      <w:r>
        <w:rPr>
          <w:lang w:val="es-AR" w:eastAsia="es-AR" w:bidi="es-AR"/>
        </w:rPr>
        <w:t xml:space="preserve">En función de ello, solicita la revocación parcial de la sentencia y el incremento del rubro por daño moral que estima corresponde a las personas actoras.</w:t>
      </w:r>
    </w:p>
    <w:p>
      <w:pPr>
        <w:pStyle w:val="[Normal]"/>
        <w:spacing w:line="360" w:lineRule="auto"/>
        <w:ind w:firstLine="1134"/>
        <w:jc w:val="both"/>
        <w:rPr>
          <w:lang w:val="es-AR" w:eastAsia="es-AR" w:bidi="es-AR"/>
        </w:rPr>
      </w:pPr>
      <w:r>
        <w:rPr>
          <w:lang w:val="es-AR" w:eastAsia="es-AR" w:bidi="es-AR"/>
        </w:rPr>
        <w:t xml:space="preserve">A su turno, el apoderado de la citada en garantía expresa agravios, sosteniendo que la sentencia resulta manifiestamente arbitraria tanto en la atribución de responsabilidad como en la cuantificación de los rubros indemnizatorios, por omitir una adecuada valoración de la pericia mecánica oficial, de las constancias de la IPP y del marco jurídico aplicable a la rebeldía procesal.</w:t>
      </w:r>
    </w:p>
    <w:p>
      <w:pPr>
        <w:pStyle w:val="[Normal]"/>
        <w:spacing w:line="360" w:lineRule="auto"/>
        <w:ind w:firstLine="1134"/>
        <w:jc w:val="both"/>
        <w:rPr>
          <w:lang w:val="es-AR" w:eastAsia="es-AR" w:bidi="es-AR"/>
        </w:rPr>
      </w:pPr>
      <w:r>
        <w:rPr>
          <w:lang w:val="es-AR" w:eastAsia="es-AR" w:bidi="es-AR"/>
        </w:rPr>
        <w:t xml:space="preserve">En primer lugar, cuestiona la forma en que se dispuso la rebeldía, por considerar que el procedimiento seguido no se ajusta a derecho y que ha sido aplicada de manera automática y ritualista.</w:t>
      </w:r>
    </w:p>
    <w:p>
      <w:pPr>
        <w:pStyle w:val="[Normal]"/>
        <w:spacing w:line="360" w:lineRule="auto"/>
        <w:ind w:firstLine="1134"/>
        <w:jc w:val="both"/>
        <w:rPr>
          <w:lang w:val="es-AR" w:eastAsia="es-AR" w:bidi="es-AR"/>
        </w:rPr>
      </w:pPr>
      <w:r>
        <w:rPr>
          <w:lang w:val="es-AR" w:eastAsia="es-AR" w:bidi="es-AR"/>
        </w:rPr>
        <w:t xml:space="preserve">En segundo término, sostiene que la sentencia parte de una premisa jurídicamente errónea al tener por reconocidos los hechos en virtud de la rebeldía de la demandada, en contradicción con lo dispuesto por el art. 356 del CPCC y la doctrina de la Corte Suprema, la SCBA y tribunales inferiores. Afirma que el juez de grado, al razonar en tal sentido, prescinde de considerar prueba pericial concluyente, lo que configura un supuesto de arbitrariedad susceptible de revisión por la Alzada, en tanto no resulta válido fundar la responsabilidad en una presunción procesal cuando existe prueba técnica en sentido contrario.</w:t>
      </w:r>
    </w:p>
    <w:p>
      <w:pPr>
        <w:pStyle w:val="[Normal]"/>
        <w:spacing w:line="360" w:lineRule="auto"/>
        <w:ind w:firstLine="1134"/>
        <w:jc w:val="both"/>
        <w:rPr>
          <w:lang w:val="es-AR" w:eastAsia="es-AR" w:bidi="es-AR"/>
        </w:rPr>
      </w:pPr>
      <w:r>
        <w:rPr>
          <w:lang w:val="es-AR" w:eastAsia="es-AR" w:bidi="es-AR"/>
        </w:rPr>
        <w:t xml:space="preserve">En esa línea, señala que la sentencia se aparta sin fundamento de la pericia mecánica y de las constancias de la IPP, las cuales -según afirma- acreditan la culpa exclusiva de la víctima. Destaca que de dichas pruebas surge que: (I) el vehículo Peugeot invadió el carril contrario; (II) el punto de impacto se ubicó en el carril de circulación del camión; (III) el automóvil impactó con su sector frontolateral izquierdo el lateral medio izquierdo del camión Scania; y (IV) las trayectorias posteriores al impacto resultan compatibles con la invasión del carril por parte del vehículo menor.</w:t>
      </w:r>
    </w:p>
    <w:p>
      <w:pPr>
        <w:pStyle w:val="[Normal]"/>
        <w:spacing w:line="360" w:lineRule="auto"/>
        <w:ind w:firstLine="1134"/>
        <w:jc w:val="both"/>
        <w:rPr>
          <w:lang w:val="es-AR" w:eastAsia="es-AR" w:bidi="es-AR"/>
        </w:rPr>
      </w:pPr>
      <w:r>
        <w:rPr>
          <w:lang w:val="es-AR" w:eastAsia="es-AR" w:bidi="es-AR"/>
        </w:rPr>
        <w:t xml:space="preserve">Remarca que el perito concluyó en forma categórica que el automóvil invadió el carril contrario e impactó al camión, en tanto que la Policía Científica arribó a idéntica conclusión en el marco de la IPP, atribuyendo al rodado menor la calidad de embistente. Añade que tales conclusiones no fueron objeto de impugnación, configurando una prueba concordante y científicamente fundada.</w:t>
      </w:r>
    </w:p>
    <w:p>
      <w:pPr>
        <w:pStyle w:val="[Normal]"/>
        <w:spacing w:line="360" w:lineRule="auto"/>
        <w:ind w:firstLine="1134"/>
        <w:jc w:val="both"/>
        <w:rPr>
          <w:lang w:val="es-AR" w:eastAsia="es-AR" w:bidi="es-AR"/>
        </w:rPr>
      </w:pPr>
      <w:r>
        <w:rPr>
          <w:lang w:val="es-AR" w:eastAsia="es-AR" w:bidi="es-AR"/>
        </w:rPr>
        <w:t xml:space="preserve">Sin embargo, sostiene que la sentencia adopta una versión fáctica distinta, apartándose de dichos elementos probatorios sin fundamentación suficiente, lo que a su entender impide considerarla una derivación razonada del derecho vigente y de las constancias de la causa, tornándola inválida.</w:t>
      </w:r>
    </w:p>
    <w:p>
      <w:pPr>
        <w:pStyle w:val="[Normal]"/>
        <w:spacing w:line="360" w:lineRule="auto"/>
        <w:ind w:firstLine="1134"/>
        <w:jc w:val="both"/>
        <w:rPr>
          <w:lang w:val="es-AR" w:eastAsia="es-AR" w:bidi="es-AR"/>
        </w:rPr>
      </w:pPr>
      <w:r>
        <w:rPr>
          <w:lang w:val="es-AR" w:eastAsia="es-AR" w:bidi="es-AR"/>
        </w:rPr>
        <w:t xml:space="preserve">Solicita la revocación de la sentencia apelada y el rechazo íntegro de la demanda, por existir a su entender culpa exclusiva de la víctima, con costas; y, en subsidio, requiere la revisión de los montos reconocidos, en particular en concepto de daño moral y gastos de sepelio, por considerarlos desproporcionados y contrarios a la doctrina de la SCBA.</w:t>
      </w:r>
    </w:p>
    <w:p>
      <w:pPr>
        <w:pStyle w:val="[Normal]"/>
        <w:spacing w:line="360" w:lineRule="auto"/>
        <w:ind w:firstLine="1134"/>
        <w:jc w:val="both"/>
        <w:rPr>
          <w:lang w:val="es-AR" w:eastAsia="es-AR" w:bidi="es-AR"/>
        </w:rPr>
      </w:pPr>
      <w:r>
        <w:rPr>
          <w:lang w:val="es-AR" w:eastAsia="es-AR" w:bidi="es-AR"/>
        </w:rPr>
        <w:t xml:space="preserve">I.- Por una cuestión de orden y método,  voy a  tratar en primer lugar  la queja desplegada por el apoderado de la citada en garantía, en virtud de haberse puesto en crisis el factor de responsabilidad que el juez endilgara a la parte demandada.</w:t>
      </w:r>
    </w:p>
    <w:p>
      <w:pPr>
        <w:pStyle w:val="[Normal]"/>
        <w:spacing w:line="360" w:lineRule="auto"/>
        <w:ind w:firstLine="1134"/>
        <w:jc w:val="both"/>
        <w:rPr>
          <w:lang w:val="es-AR" w:eastAsia="es-AR" w:bidi="es-AR"/>
        </w:rPr>
      </w:pPr>
      <w:r>
        <w:rPr>
          <w:lang w:val="es-AR" w:eastAsia="es-AR" w:bidi="es-AR"/>
        </w:rPr>
        <w:t xml:space="preserve">Y, al respecto recuerdo que y ,como bien lo señala el recurrente, la rebeldía del demandado y citada en garantía no autoriza, por sí sola, a tener automáticamente por acreditados el hecho dañoso y la responsabilidad atribuida, desde que la contumacia no releva a la parte actora de probar los extremos constitutivos de su pretensión cuando éstos han sido oportunamente desconocidos por la citada en garantía. Tal es, en sustancia, la crítica ensayada por esta última al sostener que, frente a su negativa, incumbía al actor demostrar la efectiva ocurrencia del hecho y su relación causal, y que el a quo habría forzado indebidamente la valoración probatoria a mérito exclusivo de la rebeldía de los demandados.</w:t>
      </w:r>
    </w:p>
    <w:p>
      <w:pPr>
        <w:pStyle w:val="[Normal]"/>
        <w:spacing w:line="360" w:lineRule="auto"/>
        <w:ind w:firstLine="1134"/>
        <w:jc w:val="both"/>
        <w:rPr>
          <w:lang w:val="es-AR" w:eastAsia="es-AR" w:bidi="es-AR"/>
        </w:rPr>
      </w:pPr>
      <w:r>
        <w:rPr>
          <w:lang w:val="es-AR" w:eastAsia="es-AR" w:bidi="es-AR"/>
        </w:rPr>
        <w:t xml:space="preserve">Y, ante ello encuentro un déficit en el modo de resolver la responsabilidad por parte de la sentencia primera, en tanto se basó principalmente en la falta de contestación de la demanda, sin apoyatura probatoria alguna, la cual a mi modo de ver resulta totalmente contraria a la que el aquo tuvo por cierta.</w:t>
      </w:r>
    </w:p>
    <w:p>
      <w:pPr>
        <w:pStyle w:val="[Normal]"/>
        <w:spacing w:line="360" w:lineRule="auto"/>
        <w:ind w:firstLine="1134"/>
        <w:jc w:val="both"/>
        <w:rPr>
          <w:lang w:val="es-AR" w:eastAsia="es-AR" w:bidi="es-AR"/>
        </w:rPr>
      </w:pPr>
      <w:r>
        <w:rPr>
          <w:lang w:val="es-AR" w:eastAsia="es-AR" w:bidi="es-AR"/>
        </w:rPr>
        <w:t xml:space="preserve">En efecto, tanto la pericia accidentológica llevada a cabo en la causa penal Nro. 4404-19/00 (ofrecida como prueba instrumental y que en este acto tengo a la vista), como la pericia mecánica realizada en autos por parte del Ing. Ferretti, de la Oficina Pericial Departamental, son contestes en que el accidente motivo de autos, se produjo en el sector de circulación del  camión que en la ocasión conducía el demandado, ello debido a la maniobra de invasión del mismo por parte del vehículo en el cual se trasladaba y conducía el accionante..</w:t>
      </w:r>
    </w:p>
    <w:p>
      <w:pPr>
        <w:pStyle w:val="[Normal]"/>
        <w:spacing w:line="360" w:lineRule="auto"/>
        <w:ind w:firstLine="1134"/>
        <w:jc w:val="both"/>
        <w:rPr>
          <w:lang w:val="es-AR" w:eastAsia="es-AR" w:bidi="es-AR"/>
        </w:rPr>
      </w:pPr>
      <w:r>
        <w:rPr>
          <w:lang w:val="es-AR" w:eastAsia="es-AR" w:bidi="es-AR"/>
        </w:rPr>
        <w:t xml:space="preserve">Asi, advierto que el informe de la causa penal, concluye en que "</w:t>
      </w:r>
      <w:r>
        <w:rPr>
          <w:i/>
          <w:lang w:val="es-AR" w:eastAsia="es-AR" w:bidi="es-AR"/>
        </w:rPr>
        <w:t xml:space="preserve">El hecho ocurre sobre un tramo de trazo recto de la ruta 32 a la altura del kilómetro 151.</w:t>
      </w:r>
      <w:r>
        <w:rPr>
          <w:i/>
          <w:u w:val="single"/>
          <w:lang w:val="es-AR" w:eastAsia="es-AR" w:bidi="es-AR"/>
        </w:rPr>
        <w:t xml:space="preserve"> Que la zona de colisión  el lugar obedece sobre el curso del carril que ordenara el sentido de circulación vehicular Sur-Este a Nor-Oeste y sector donde se aposentan/fijan y acotan los siguientes rastros/indicios 6,9 y 14 (hendidura, rueda, rastros terreros) , todos ellos ubicado sobre el carril de tránsito del rodado de mayor porte</w:t>
      </w:r>
      <w:r>
        <w:rPr>
          <w:i/>
          <w:lang w:val="es-AR" w:eastAsia="es-AR" w:bidi="es-AR"/>
        </w:rPr>
        <w:t xml:space="preserve">... Que el Automóvil resulto Embistente la restante unidad Embestida. Que la mecánica del siniestro se condice  fisicamente con lo expuesto...</w:t>
      </w:r>
      <w:r>
        <w:rPr>
          <w:lang w:val="es-AR" w:eastAsia="es-AR" w:bidi="es-AR"/>
        </w:rPr>
        <w:t xml:space="preserve">" (fs. 97 de la causa penal ya referida y el subrayado me pertenece).</w:t>
      </w:r>
    </w:p>
    <w:p>
      <w:pPr>
        <w:pStyle w:val="[Normal]"/>
        <w:spacing w:line="360" w:lineRule="auto"/>
        <w:ind w:firstLine="1134"/>
        <w:jc w:val="both"/>
        <w:rPr>
          <w:lang w:val="es-AR" w:eastAsia="es-AR" w:bidi="es-AR"/>
        </w:rPr>
      </w:pPr>
      <w:r>
        <w:rPr>
          <w:lang w:val="es-AR" w:eastAsia="es-AR" w:bidi="es-AR"/>
        </w:rPr>
        <w:t xml:space="preserve">Tal descripción es totalmente confirmada por parte del Perito Oficial Ingeniero Mecánico  Javier Telmo Ferretti de la Asesoría Pericial Departamenta quien, en su informe pericial destacó que : "</w:t>
      </w:r>
      <w:r>
        <w:rPr>
          <w:u w:val="single"/>
          <w:lang w:val="es-AR" w:eastAsia="es-AR" w:bidi="es-AR"/>
        </w:rPr>
        <w:t xml:space="preserve">P</w:t>
      </w:r>
      <w:r>
        <w:rPr>
          <w:i/>
          <w:u w:val="single"/>
          <w:lang w:val="es-AR" w:eastAsia="es-AR" w:bidi="es-AR"/>
        </w:rPr>
        <w:t xml:space="preserve">revio al siniestro el automóvil Peugeot circulaban por la ruta N° 32 en dirección “oeste - este” (Rosario - Pergamino), al llegar al km 151 invade al carril contrario e impacta con su sector frontolateral izquierdo, el sector lateral medio izquierdo del camión Scania que previo al siniestro circulaba por dicha arteria en dirección “este - oeste”</w:t>
      </w:r>
      <w:r>
        <w:rPr>
          <w:i/>
          <w:lang w:val="es-AR" w:eastAsia="es-AR" w:bidi="es-AR"/>
        </w:rPr>
        <w:t xml:space="preserve"> (Pergamino – Rosario, sentido contrario al del automóvil Peugeot). Posterior al contacto, el automóvil Peugeot desvía su trayectoria hacia el “sureste” tal como lo describen los rastros “2 – 3 – 4 – 5” en IPP fs. 38, mientras que el camión Scania – acoplado Randon continua su avance desviándose hacia su banquina, realizando efecto “tijera” seguido de vuelco del camión Scania, observándose los móviles al momento de constatación de Policía Científica en la posición final que se observa en planimetría. E</w:t>
      </w:r>
      <w:r>
        <w:rPr>
          <w:i/>
          <w:u w:val="single"/>
          <w:lang w:val="es-AR" w:eastAsia="es-AR" w:bidi="es-AR"/>
        </w:rPr>
        <w:t xml:space="preserve">l lugar donde entran en contacto ambos móviles es la zona próxima donde se encuentran descriptos en IPP fs. 38 los rastros “6 – 7 - 8”, sobre el carril “este - oeste” (Pergamino – Rosario), carril de circulación previo del camión Scania</w:t>
      </w:r>
      <w:r>
        <w:rPr>
          <w:i/>
          <w:lang w:val="es-AR" w:eastAsia="es-AR" w:bidi="es-AR"/>
        </w:rPr>
        <w:t xml:space="preserve"> – acoplado Randon."</w:t>
      </w:r>
      <w:r>
        <w:rPr>
          <w:lang w:val="es-AR" w:eastAsia="es-AR" w:bidi="es-AR"/>
        </w:rPr>
        <w:t xml:space="preserve"> (presentación electrónica del 18/02/2025 y el subrayado me pertenece).</w:t>
      </w:r>
    </w:p>
    <w:p>
      <w:pPr>
        <w:pStyle w:val="[Normal]"/>
        <w:spacing w:line="360" w:lineRule="auto"/>
        <w:ind w:firstLine="1134"/>
        <w:jc w:val="both"/>
        <w:rPr>
          <w:lang w:val="es-AR" w:eastAsia="es-AR" w:bidi="es-AR"/>
        </w:rPr>
      </w:pPr>
      <w:r>
        <w:rPr>
          <w:lang w:val="es-AR" w:eastAsia="es-AR" w:bidi="es-AR"/>
        </w:rPr>
        <w:t xml:space="preserve">Por último, también he de  destacar que toda esta situación llevo a la decisión tomada por la Agente Fiscal a cargo de la investigación preparatoria, respecto de archivar las actuaciones, debido a que "...</w:t>
      </w:r>
      <w:r>
        <w:rPr>
          <w:i/>
          <w:lang w:val="es-AR" w:eastAsia="es-AR" w:bidi="es-AR"/>
        </w:rPr>
        <w:t xml:space="preserve"> el resultado de la pericia accidentológica corrobora lo dicho por Zapata y Goette ... se concluye que el automóvil Peugeot resulta embistente  y la unidad de mayor porte resulta ser embestido, dictaminando el perito que la zona de colisión se encuentra sobre el carril de circulación sentido Pergamino - Rosario, que resultaba ser el carril de tránsito del camión... </w:t>
      </w:r>
      <w:r>
        <w:rPr>
          <w:i/>
          <w:u w:val="single"/>
          <w:lang w:val="es-AR" w:eastAsia="es-AR" w:bidi="es-AR"/>
        </w:rPr>
        <w:t xml:space="preserve">que resulto la causa decisiva del resultado la conducta de la víctima, quien invadió el carril porel cual circulaba la unidad de mayor porte</w:t>
      </w:r>
      <w:r>
        <w:rPr>
          <w:lang w:val="es-AR" w:eastAsia="es-AR" w:bidi="es-AR"/>
        </w:rPr>
        <w:t xml:space="preserve">". (Fs. 103 y vts. de la causa penal y el subrayado me pertenece). </w:t>
      </w:r>
    </w:p>
    <w:p>
      <w:pPr>
        <w:pStyle w:val="[Normal]"/>
        <w:spacing w:line="360" w:lineRule="auto"/>
        <w:ind w:firstLine="1134"/>
        <w:jc w:val="both"/>
        <w:rPr>
          <w:lang w:val="es-AR" w:eastAsia="es-AR" w:bidi="es-AR"/>
        </w:rPr>
      </w:pPr>
      <w:r>
        <w:rPr>
          <w:lang w:val="es-AR" w:eastAsia="es-AR" w:bidi="es-AR"/>
        </w:rPr>
        <w:t xml:space="preserve">Asimismo, he de destacar como importante la declaración testimonial efectuada por el Sr. Cristian Leonardo Zapata -llevadas a cabo en la causa penal de referencia a Fs. 32/vta-, y que dan cuenta de esta situación, en tanto aquel declarara que "... </w:t>
      </w:r>
      <w:r>
        <w:rPr>
          <w:i/>
          <w:lang w:val="es-AR" w:eastAsia="es-AR" w:bidi="es-AR"/>
        </w:rPr>
        <w:t xml:space="preserve">venia circulando por la ruta 32 en dirección Rosario - Pergamino y delante mio venía un Peugeot 504 blanco que me</w:t>
      </w:r>
      <w:r>
        <w:rPr>
          <w:b/>
          <w:i/>
          <w:lang w:val="es-AR" w:eastAsia="es-AR" w:bidi="es-AR"/>
        </w:rPr>
        <w:t xml:space="preserve"> </w:t>
      </w:r>
      <w:r>
        <w:rPr>
          <w:i/>
          <w:lang w:val="es-AR" w:eastAsia="es-AR" w:bidi="es-AR"/>
        </w:rPr>
        <w:t xml:space="preserve">llamo</w:t>
      </w:r>
      <w:r>
        <w:rPr>
          <w:b/>
          <w:i/>
          <w:lang w:val="es-AR" w:eastAsia="es-AR" w:bidi="es-AR"/>
        </w:rPr>
        <w:t xml:space="preserve"> </w:t>
      </w:r>
      <w:r>
        <w:rPr>
          <w:i/>
          <w:lang w:val="es-AR" w:eastAsia="es-AR" w:bidi="es-AR"/>
        </w:rPr>
        <w:t xml:space="preserve">la atención que iba haciendo zig-zag ... lo sobrepase a unos 4 km antes de El Socorro donde hay un puentecito en un momento veo por el retrovisor una polvareda y entonces paré. El camión venía en dirección Pergamino - Rosario, de hecho yo freno un poco para darle paso porque hay un pozo grande y venía cargado, por eso preste atención. El camión venía bien, por su mano, de hecho por esta zona uno viene despacio por los huellones que hay en la ruta...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Tal revisión fáctica de los hechos y que encuentro comprobada definitivamente en autos, es totalmente contraria a la versión dada por los demandantes en su escrito inicial, donde expresamente sostuvieron que "... a la altura de la comuna de Villa Angélica (Estación El Socorro), </w:t>
      </w:r>
      <w:r>
        <w:rPr>
          <w:u w:val="single"/>
          <w:lang w:val="es-AR" w:eastAsia="es-AR" w:bidi="es-AR"/>
        </w:rPr>
        <w:t xml:space="preserve">un camión marca Scania 114 G Tractor, dominio CRH000, con acoplado RANDON, conducido por el aquí demandado SR. GOETTE ALAN FACUNDO, que se desplazaba en sentido contrario, es decir en sentido Pergamino - Rosario, haciéndolo a una velocidad excesiva, mucho más elevada que la permitida para ese sector de la ruta,</w:t>
      </w:r>
      <w:r>
        <w:rPr>
          <w:lang w:val="es-AR" w:eastAsia="es-AR" w:bidi="es-AR"/>
        </w:rPr>
        <w:t xml:space="preserve"> </w:t>
      </w:r>
      <w:r>
        <w:rPr>
          <w:u w:val="single"/>
          <w:lang w:val="es-AR" w:eastAsia="es-AR" w:bidi="es-AR"/>
        </w:rPr>
        <w:t xml:space="preserve">invade la mano de circulación de la víctima</w:t>
      </w:r>
      <w:r>
        <w:rPr>
          <w:lang w:val="es-AR" w:eastAsia="es-AR" w:bidi="es-AR"/>
        </w:rPr>
        <w:t xml:space="preserve">, muy posiblemente debido al muy mal estado de conservación de la calzada en ese tramo, cuando al percibir que nuestro padre se acercaba decide volver a su mano de circulación en forma intempestiva" (el subrayado me pertenece).</w:t>
      </w:r>
    </w:p>
    <w:p>
      <w:pPr>
        <w:pStyle w:val="[Normal]"/>
        <w:spacing w:line="360" w:lineRule="auto"/>
        <w:ind w:firstLine="1134"/>
        <w:jc w:val="both"/>
        <w:rPr>
          <w:lang w:val="es-AR" w:eastAsia="es-AR" w:bidi="es-AR"/>
        </w:rPr>
      </w:pPr>
      <w:r>
        <w:rPr>
          <w:lang w:val="es-AR" w:eastAsia="es-AR" w:bidi="es-AR"/>
        </w:rPr>
        <w:t xml:space="preserve">Al efecto, debo resaltar que el principio de congruencia, no permite hacer mérito en la sentencia de aquello que no fue objeto de demanda, y ello es lo que ocurre en autos, donde como ya lo señalara la prueba obtenida en autos, da cuenta de la ocurrencia del hecho en forma totalmente distinta a la que se expusiera al demandar, lo que se contrapone con lo establecido por la normativa de forma e impiden el progreso de la acción (arts. 163 inc. 6, 330, incs. 3° y 4° y 354 inc. 2° del C.P.C. y C.).-</w:t>
      </w:r>
    </w:p>
    <w:p>
      <w:pPr>
        <w:pStyle w:val="[Normal]"/>
        <w:spacing w:line="360" w:lineRule="auto"/>
        <w:ind w:firstLine="1134"/>
        <w:jc w:val="both"/>
        <w:rPr>
          <w:lang w:val="es-AR" w:eastAsia="es-AR" w:bidi="es-AR"/>
        </w:rPr>
      </w:pPr>
      <w:r>
        <w:rPr>
          <w:lang w:val="es-AR" w:eastAsia="es-AR" w:bidi="es-AR"/>
        </w:rPr>
        <w:t xml:space="preserve">"</w:t>
      </w:r>
      <w:r>
        <w:rPr>
          <w:i/>
          <w:lang w:val="es-AR" w:eastAsia="es-AR" w:bidi="es-AR"/>
        </w:rPr>
        <w:t xml:space="preserve">La contestación de la demanda cierra el ciclo de los actos introductorios de la instancia; a partir de ese momento están fijadas las respectivas posiciones que han adoptado el actor en la demanda y, el demandado y la citada en garantía en sus réplicas, y sobre las cuales deberá el Juez expedirse pues la sentencia debe contener una "decisión expresa, positiva, precisa de conformidad con las pretensiones deducidas en juicio, es decir que con ellas se ha establecido el thema decidendum; además fija qué hechos deben ser objeto de prueba porque han sido negados, discutidos y tiene influencias sobre la distribución de la prueba.</w:t>
      </w:r>
      <w:r>
        <w:rPr>
          <w:lang w:val="es-AR" w:eastAsia="es-AR" w:bidi="es-AR"/>
        </w:rPr>
        <w:t xml:space="preserve">" (CC0203 LP 119295 RSD­197­15 S 23/12/2015 - Carátula: Malfetano, Jorge Daniel c/ Cepeda, José Cipriano s/ Daños y Perjuicios - Sumario Juba: B356093).</w:t>
      </w:r>
    </w:p>
    <w:p>
      <w:pPr>
        <w:pStyle w:val="[Normal]"/>
        <w:spacing w:line="360" w:lineRule="auto"/>
        <w:ind w:firstLine="1134"/>
        <w:jc w:val="both"/>
        <w:rPr>
          <w:lang w:val="es-AR" w:eastAsia="es-AR" w:bidi="es-AR"/>
        </w:rPr>
      </w:pPr>
      <w:r>
        <w:rPr>
          <w:lang w:val="es-AR" w:eastAsia="es-AR" w:bidi="es-AR"/>
        </w:rPr>
        <w:t xml:space="preserve">Es decir que la postulación actoral acerca de la responsabilidad en el hecho lejos está de la comprobada en autos, mediante prueba fehaciente y concordante, sin que exista aporte probatorio alguno acerca de la versión ensayada en demanda y que he descripto antes. </w:t>
      </w:r>
    </w:p>
    <w:p>
      <w:pPr>
        <w:pStyle w:val="[Normal]"/>
        <w:spacing w:line="360" w:lineRule="auto"/>
        <w:ind w:firstLine="1134"/>
        <w:jc w:val="both"/>
        <w:rPr>
          <w:lang w:val="es-AR" w:eastAsia="es-AR" w:bidi="es-AR"/>
        </w:rPr>
      </w:pPr>
      <w:r>
        <w:rPr>
          <w:lang w:val="es-AR" w:eastAsia="es-AR" w:bidi="es-AR"/>
        </w:rPr>
        <w:t xml:space="preserve">De modo tal que el presupuesto de hecho formulado no ha sido debidamente probado en autos, ello en tanto que el accidente se produjo -de conformidad a las constancias de la causa-, de otra forma, esto es cuando el vehículo de la víctima invade la mano de circulación que llevaba el camión conducido por el demandado (como ha sido descripto más arriba)  lo que sella desde esta altura del análisis la suerte del reclamo.</w:t>
      </w:r>
    </w:p>
    <w:p>
      <w:pPr>
        <w:pStyle w:val="[Normal]"/>
        <w:spacing w:line="360" w:lineRule="auto"/>
        <w:ind w:firstLine="1134"/>
        <w:jc w:val="both"/>
        <w:rPr>
          <w:lang w:val="es-AR" w:eastAsia="es-AR" w:bidi="es-AR"/>
        </w:rPr>
      </w:pPr>
      <w:r>
        <w:rPr>
          <w:lang w:val="es-AR" w:eastAsia="es-AR" w:bidi="es-AR"/>
        </w:rPr>
        <w:t xml:space="preserve">Ello así, en tanto que de acuerdo a la mecánica del hecho que se probara en autos, ha existido culpa de la víctima al desviarse de su mano hacia la contraria que venia circulando el camión Scania, sin que se haya encontrado maniobra alguna por parte de la conducción del demandado que llevara a la consecuencia trágica, en tanto la misma se produjo por obra exclusiva del Sr. Juan Santiago Maceira (Arts. 1721, 1722, 1729 y CCs del C.C. y C.). </w:t>
      </w:r>
    </w:p>
    <w:p>
      <w:pPr>
        <w:pStyle w:val="[Normal]"/>
        <w:spacing w:line="360" w:lineRule="auto"/>
        <w:ind w:firstLine="1134"/>
        <w:jc w:val="both"/>
        <w:rPr>
          <w:lang w:val="es-AR" w:eastAsia="es-AR" w:bidi="es-AR"/>
        </w:rPr>
      </w:pPr>
      <w:r>
        <w:rPr>
          <w:lang w:val="es-AR" w:eastAsia="es-AR" w:bidi="es-AR"/>
        </w:rPr>
        <w:t xml:space="preserve">Recapitulando, he de concluir que la crítica formulada por el quejoso debe ser acogida tanto por razones procesales (incongruencia fáctica y probatoria entre el hecho postulado como generador de responsabilidad y el hecho efectivamente probado (cf. art. 375 del CPCCBA-) como sustanciales (acreditación del hecho del damnificado -art. 1729 del CCyC- en tanto causa impeditiva del nexo causal como presupuesto de responsabilidad). Y es por ello que propongo al acuerdo la revocación de la sentencia primera, y el rechazo de la demanda incoada, con costas en ambas instancias a la accionante que resulta vencida.</w:t>
      </w:r>
    </w:p>
    <w:p>
      <w:pPr>
        <w:pStyle w:val="[Normal]"/>
        <w:spacing w:line="360" w:lineRule="auto"/>
        <w:ind w:firstLine="1134"/>
        <w:jc w:val="both"/>
        <w:rPr>
          <w:lang w:val="es-AR" w:eastAsia="es-AR" w:bidi="es-AR"/>
        </w:rPr>
      </w:pPr>
      <w:r>
        <w:rPr>
          <w:lang w:val="es-AR" w:eastAsia="es-AR" w:bidi="es-AR"/>
        </w:rPr>
        <w:t xml:space="preserve">Por último, y debido a la recepción del recurso opuesto por la citada en garantía, deviene en abstracto el tratamiento del recurso opuesto por la accionante.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w:t>
      </w:r>
    </w:p>
    <w:p>
      <w:pPr>
        <w:pStyle w:val="[Normal]"/>
        <w:spacing w:line="360" w:lineRule="auto"/>
        <w:ind w:firstLine="1134"/>
        <w:jc w:val="both"/>
        <w:rPr>
          <w:lang w:val="es-AR" w:eastAsia="es-AR" w:bidi="es-AR"/>
        </w:rPr>
      </w:pPr>
      <w:r>
        <w:rPr>
          <w:lang w:val="es-AR" w:eastAsia="es-AR" w:bidi="es-AR"/>
        </w:rPr>
        <w:t xml:space="preserve">Acoger el recurso de apelación deducido por el apoderado de la citada en garantía, y en su mérito revocar la sentencia primera, disponiendo el rechazo de la demanda incoada, con costas en ambas instancias a la parte actora en su calidad de vencida (Art. 68 del C.P.C. y C.).</w:t>
      </w:r>
    </w:p>
    <w:p>
      <w:pPr>
        <w:pStyle w:val="[Normal]"/>
        <w:spacing w:line="360" w:lineRule="auto"/>
        <w:ind w:firstLine="1134"/>
        <w:jc w:val="both"/>
        <w:rPr>
          <w:lang w:val="es-AR" w:eastAsia="es-AR" w:bidi="es-AR"/>
        </w:rPr>
      </w:pPr>
      <w:r>
        <w:rPr>
          <w:lang w:val="es-AR" w:eastAsia="es-AR" w:bidi="es-AR"/>
        </w:rPr>
        <w:t xml:space="preserve">Declarando abstractas las cuestiones apeladas por la accionante.</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arancelaria).-</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Acoger el recurso de apelación deducido por el apoderado de la citada en garantía, y en su mérito revocar la sentencia primera, disponiendo el rechazo de la demanda incoada, con costas en ambas instancias a la parte actora en su calidad de vencida (Art. 68 del C.P.C. y C.).</w:t>
      </w:r>
    </w:p>
    <w:p>
      <w:pPr>
        <w:pStyle w:val="[Normal]"/>
        <w:spacing w:line="360" w:lineRule="auto"/>
        <w:ind w:firstLine="1134"/>
        <w:jc w:val="both"/>
        <w:rPr>
          <w:lang w:val="es-AR" w:eastAsia="es-AR" w:bidi="es-AR"/>
        </w:rPr>
      </w:pPr>
      <w:r>
        <w:rPr>
          <w:lang w:val="es-AR" w:eastAsia="es-AR" w:bidi="es-AR"/>
        </w:rPr>
        <w:t xml:space="preserve">Declarando abstractas las cuestiones apeladas por la accionante.</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arancelaria).-</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09/04/2026 10:55:29 -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09/04/2026 10:57:09 -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09/04/2026 12:54:29 -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‰98")è&amp;r`ysŠ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252402090006826489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09/04/2026 12:54:40 hs. bajo el número RS-52-2026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