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5987-26</w:t>
      </w:r>
      <w:r>
        <w:rPr>
          <w:lang w:val="es-AR" w:eastAsia="es-AR" w:bidi="es-AR"/>
        </w:rPr>
        <w:t xml:space="preserve"> caratulada </w:t>
      </w:r>
      <w:r>
        <w:rPr>
          <w:b/>
          <w:lang w:val="es-AR" w:eastAsia="es-AR" w:bidi="es-AR"/>
        </w:rPr>
        <w:t xml:space="preserve">"</w:t>
      </w:r>
      <w:r>
        <w:rPr>
          <w:b/>
          <w:color w:val="000000"/>
          <w:lang w:val="es-AR" w:eastAsia="es-AR" w:bidi="es-AR"/>
        </w:rPr>
        <w:t xml:space="preserve">G. G. B. C/ A. S. Y OTRO/A S/ GUARDA A PARIENTES</w:t>
      </w:r>
      <w:r>
        <w:rPr>
          <w:b/>
          <w:lang w:val="es-AR" w:eastAsia="es-AR" w:bidi="es-AR"/>
        </w:rPr>
        <w:t xml:space="preserve">"</w:t>
      </w:r>
      <w:r>
        <w:rPr>
          <w:lang w:val="es-AR" w:eastAsia="es-AR" w:bidi="es-AR"/>
        </w:rPr>
        <w:t xml:space="preserve">, Expte. </w:t>
      </w:r>
      <w:r>
        <w:rPr>
          <w:color w:val="000000"/>
          <w:lang w:val="es-AR" w:eastAsia="es-AR" w:bidi="es-AR"/>
        </w:rPr>
        <w:t xml:space="preserve">39.198</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otorgó</w:t>
      </w:r>
      <w:r>
        <w:rPr>
          <w:color w:val="000000"/>
          <w:lang w:val="es-AR" w:eastAsia="es-AR" w:bidi="es-AR"/>
        </w:rPr>
        <w:t xml:space="preserve"> a la Sra. G. B. G. y al Sr. G. E. A., la guarda judicial de su nieto J. A. F. hijo de la Sra. S. A. y del Sr. L. A. F., como medida de protección de derechos sin que ello importe delegación de la responsabilidad parental que recae  en cabeza de los progenitores del menor ( art 75 inc.22, arts 3, 24 de la Convención de los Derechos del Niño). Impuso las costas a los accionantes (art. 68 CPCC). No reguló honorarios a la letrada interviniente Dra. Sarobe Daiana Stefania, por ser integrante del Consultorio Jurídico Gratuito de Niños y Adolescentes perteneciente al Colegio de Abogados de Pergamino. Reguló los honorarios en favor de la Defensoría Oficial Nº 1 y 2 del Departamento Judicial de Pergamino (arts. 9 ap I inc d; 16; 54 y 57  y ccs. de la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17-9-2025 por el demandado, concedido el 23-9-2025 en relación y en efecto devolutivo y del mismo traslado a la contraparte. El 19-12-2025 no habiendo la parte actora evacuado el traslado conferido se le dio por perdido el derecho dejado de usar y se le dio vista a la Sra. Asesora de Incapaces, quien el 2-2-2026 la contestó.</w:t>
      </w:r>
    </w:p>
    <w:p>
      <w:pPr>
        <w:pStyle w:val="[Normal]"/>
        <w:spacing w:line="360" w:lineRule="auto"/>
        <w:ind w:firstLine="1134"/>
        <w:jc w:val="both"/>
        <w:rPr>
          <w:lang w:val="es-AR" w:eastAsia="es-AR" w:bidi="es-AR"/>
        </w:rPr>
      </w:pPr>
      <w:r>
        <w:rPr>
          <w:lang w:val="es-AR" w:eastAsia="es-AR" w:bidi="es-AR"/>
        </w:rPr>
        <w:t xml:space="preserve">Elevados los autos a esta Alzada con fecha 19-2-2026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recurrente Sr. F. con el patrocinio letrado de la Secretaria de la Defensoría Oficial contra el decisorio de grado manifestando escuetamente que la progenitora del menor recurrió a su madre para que lo cuidara de forma provisoria y que posteriormente se negó la actora a reintegrar al hijo y a tener contacto con el mismo habiéndose iniciado la causa por régimen de comunicación en trámite actualmente.-</w:t>
      </w:r>
    </w:p>
    <w:p>
      <w:pPr>
        <w:pStyle w:val="[Normal]"/>
        <w:spacing w:line="360" w:lineRule="auto"/>
        <w:ind w:firstLine="1134"/>
        <w:jc w:val="both"/>
        <w:rPr>
          <w:lang w:val="es-AR" w:eastAsia="es-AR" w:bidi="es-AR"/>
        </w:rPr>
      </w:pPr>
      <w:r>
        <w:rPr>
          <w:lang w:val="es-AR" w:eastAsia="es-AR" w:bidi="es-AR"/>
        </w:rPr>
        <w:t xml:space="preserve">Dice que la sentencia apelada se basa en el informe ambiental ordenado por el Juez de Familia del que el operador extrae las conclusiones de abandono y desvinculación de funciones paternas y maternas, disgustándose contra esa meritación. Que se le ha prohibido de forma arbitraria tener a su hijo y verlo, y que la sentencia se basa en un informe sicológico de la actora (no del padre) y uno ambiental.-</w:t>
      </w:r>
    </w:p>
    <w:p>
      <w:pPr>
        <w:pStyle w:val="[Normal]"/>
        <w:spacing w:line="360" w:lineRule="auto"/>
        <w:ind w:firstLine="1134"/>
        <w:jc w:val="both"/>
        <w:rPr>
          <w:lang w:val="es-AR" w:eastAsia="es-AR" w:bidi="es-AR"/>
        </w:rPr>
      </w:pPr>
      <w:r>
        <w:rPr>
          <w:lang w:val="es-AR" w:eastAsia="es-AR" w:bidi="es-AR"/>
        </w:rPr>
        <w:t xml:space="preserve">A su turno la representante Pupilar reitera los argumentos expuestos en el dictamen de fecha 11/06/2025, señala que en el marco de la causa de régimen comunicacional se produjeron numerosos informes y de modo provisorio se acordó entre las partes una revinculación paterna bajo supervisión técnica del Juzgado, clausurándose la etapa previa por la falta de adhesión y adecuación de Fernández a las pautas y compromisos exigidos.-</w:t>
      </w:r>
    </w:p>
    <w:p>
      <w:pPr>
        <w:pStyle w:val="[Normal]"/>
        <w:spacing w:line="360" w:lineRule="auto"/>
        <w:ind w:firstLine="1134"/>
        <w:jc w:val="both"/>
        <w:rPr>
          <w:lang w:val="es-AR" w:eastAsia="es-AR" w:bidi="es-AR"/>
        </w:rPr>
      </w:pPr>
      <w:r>
        <w:rPr>
          <w:lang w:val="es-AR" w:eastAsia="es-AR" w:bidi="es-AR"/>
        </w:rPr>
        <w:t xml:space="preserve">Lo mismo en relación a la madre que comprometió su asistencia ante organismo municipal con el fin de un encuadre terapéutico arrojando esa estrategia resultado negativo.-</w:t>
      </w:r>
    </w:p>
    <w:p>
      <w:pPr>
        <w:pStyle w:val="[Normal]"/>
        <w:spacing w:line="360" w:lineRule="auto"/>
        <w:ind w:firstLine="1134"/>
        <w:jc w:val="both"/>
        <w:rPr>
          <w:lang w:val="es-AR" w:eastAsia="es-AR" w:bidi="es-AR"/>
        </w:rPr>
      </w:pPr>
      <w:r>
        <w:rPr>
          <w:lang w:val="es-AR" w:eastAsia="es-AR" w:bidi="es-AR"/>
        </w:rPr>
        <w:t xml:space="preserve">Cita la convención en su art. 3 y dice que frente al interés de los adultos ha de primar el de los niños solicitando se rechace la apelación deducida.-</w:t>
      </w:r>
    </w:p>
    <w:p>
      <w:pPr>
        <w:pStyle w:val="[Normal]"/>
        <w:spacing w:line="360" w:lineRule="auto"/>
        <w:ind w:firstLine="1134"/>
        <w:jc w:val="both"/>
        <w:rPr>
          <w:lang w:val="es-AR" w:eastAsia="es-AR" w:bidi="es-AR"/>
        </w:rPr>
      </w:pPr>
      <w:r>
        <w:rPr>
          <w:lang w:val="es-AR" w:eastAsia="es-AR" w:bidi="es-AR"/>
        </w:rPr>
        <w:t xml:space="preserve">La cuestión medular atacada por el quejoso es en cuanto a la apreciación que realizó el a quo de la prueba producida en autos, la cual tacha de errónea y equivocada, generando a su decir una resolución injusta e infundada, extremo que a mi criterio no resulta suficiente en el caso para revocar la solución dada por el operador de origen.</w:t>
      </w:r>
    </w:p>
    <w:p>
      <w:pPr>
        <w:pStyle w:val="[Normal]"/>
        <w:spacing w:line="360" w:lineRule="auto"/>
        <w:ind w:firstLine="1134"/>
        <w:jc w:val="both"/>
        <w:rPr>
          <w:lang w:val="es-AR" w:eastAsia="es-AR" w:bidi="es-AR"/>
        </w:rPr>
      </w:pPr>
      <w:r>
        <w:rPr>
          <w:lang w:val="es-AR" w:eastAsia="es-AR" w:bidi="es-AR"/>
        </w:rPr>
        <w:t xml:space="preserve">En efecto, en primer lugar he de señalarse que, como ha sido expuesto en la causa C. 92.267 de la Suprema Corte de Justicia de esta Provincia, en el voto del doctor Pettigiani, "... el punto de partida es la remanida pero no superada fórmula del "interés superior del menor", verdadera regla de oro a la que no resulta posible sustraerse, por mandato constitucional y por respeto a los principios más elementales del derecho minoril. En su más prístina enunciación, este verdadero postulado quedó expresado en los siguientes términos: "en todas las medidas concernientes a los niños que tomen las instituciones públicas o privadas de bienestar social, los tribunales, las autoridades administrativas o los órganos legislativos, una condición primordial a la que se tenderá será al interés del niño (art. 3 párrafo 1°, Convención sobre los Derechos del Niño). Una definición aproximada caracteriza al interés del menor como el conjunto de bienes necesarios para el desarrollo integral y la protección de la persona y los bienes de un menor dado, y entre ellos el que más conviene en una circunstancia histórica determinada, analizado en concreto ya que no se concibe un interés del menor puramente abstracto. Al respecto, hemos sostenido que el interés superior del menor excluye toda consideración dogmática para atender a las circunstancias particulares que presenta cada caso (SCBA Ac. 63.120, sent. del 31-III-1998). Máxime cuando en materia de menores todo está signado por la provisoriedad: lo que hoy resulta conveniente mañana puede ya no serlo, y a la inversa, lo que hoy aparece como inoportuno puede en el futuro transformarse en algo pertinente".</w:t>
      </w:r>
    </w:p>
    <w:p>
      <w:pPr>
        <w:pStyle w:val="[Normal]"/>
        <w:spacing w:line="360" w:lineRule="auto"/>
        <w:ind w:firstLine="1134"/>
        <w:jc w:val="both"/>
        <w:rPr>
          <w:lang w:val="es-AR" w:eastAsia="es-AR" w:bidi="es-AR"/>
        </w:rPr>
      </w:pPr>
      <w:r>
        <w:rPr>
          <w:lang w:val="es-AR" w:eastAsia="es-AR" w:bidi="es-AR"/>
        </w:rPr>
        <w:t xml:space="preserve">A lo que respecta agregar que las cuestiones relativas a la guarda o tenencia de los hijos menores es sin duda una medida que no sólo concierne a los padres o guardadores, sino que fundamental y esencialmente interesa a los niños involucrados, cuyo interés superior debe en consecuencia ser evaluado y satisfecho en todos los casos.</w:t>
      </w:r>
    </w:p>
    <w:p>
      <w:pPr>
        <w:pStyle w:val="[Normal]"/>
        <w:spacing w:line="360" w:lineRule="auto"/>
        <w:ind w:firstLine="1134"/>
        <w:jc w:val="both"/>
        <w:rPr>
          <w:lang w:val="es-AR" w:eastAsia="es-AR" w:bidi="es-AR"/>
        </w:rPr>
      </w:pPr>
      <w:r>
        <w:rPr>
          <w:lang w:val="es-AR" w:eastAsia="es-AR" w:bidi="es-AR"/>
        </w:rPr>
        <w:t xml:space="preserve">"No se trata de decidir una mera adjudicación de derechos sobre un objeto inanimado o sobre un bien abstracto, cuya substancia permanecerá insensible o inalterada frente al paso del tiempo, sino sobre el destino de una persona de carne y hueso, que vive, piensa, tiene sentimientos, experimenta emociones, ríe, llora y va forjando día a día su identidad y la personalidad con la cual afrontará el resto de su existencia" (SCBA, Voto del Dr. Pettigiani, Ac. 78.446, sent. del 27-I-2001). </w:t>
      </w:r>
    </w:p>
    <w:p>
      <w:pPr>
        <w:pStyle w:val="[Normal]"/>
        <w:spacing w:line="360" w:lineRule="auto"/>
        <w:ind w:firstLine="1134"/>
        <w:jc w:val="both"/>
        <w:rPr>
          <w:lang w:val="es-AR" w:eastAsia="es-AR" w:bidi="es-AR"/>
        </w:rPr>
      </w:pPr>
      <w:r>
        <w:rPr>
          <w:lang w:val="es-AR" w:eastAsia="es-AR" w:bidi="es-AR"/>
        </w:rPr>
        <w:t xml:space="preserve">Sobre esta base y a la luz de las críticas plasmadas en la memoria he analizado la sentencia atacada, concluyendo que el embate planteado luce insuficiente para rebatir la base argumental del fallo, en tanto deja en pie elementos esenciales del mismo, que abastecen la conclusión a que ha arribado el a quo.</w:t>
      </w:r>
    </w:p>
    <w:p>
      <w:pPr>
        <w:pStyle w:val="[Normal]"/>
        <w:spacing w:line="360" w:lineRule="auto"/>
        <w:ind w:firstLine="1134"/>
        <w:jc w:val="both"/>
        <w:rPr>
          <w:lang w:val="es-AR" w:eastAsia="es-AR" w:bidi="es-AR"/>
        </w:rPr>
      </w:pPr>
      <w:r>
        <w:rPr>
          <w:lang w:val="es-AR" w:eastAsia="es-AR" w:bidi="es-AR"/>
        </w:rPr>
        <w:t xml:space="preserve">Determinar la guarda en favor de los abuelos, es sin dudas una manera de mantener el status quo que tiene el niño nacido el 22 de noviembre de 2022, quien estuvo internado por 10 días con sífilis congénita al nacer , retirado por la madre del día de su alta.- A posteriori la madre decide  entregarlo a la abuela materna.- La abuela afirma que "la progenitora de J. tuvo muchos conflictos legales, estuvo detenida, debido a esos conflictos la desafectaron de la fuerza policial " y que " que su nieto llego en estado de abandono total, agregando que le daban jugo y pan y que nació con sífilis".- Todo esto recogido en el informe de fecha 9/06/2025 por el perito Sicólogo del Juzgado de Familia, que no fue impugnado (art. 474 del CPCC y su doctrina).-</w:t>
      </w:r>
    </w:p>
    <w:p>
      <w:pPr>
        <w:pStyle w:val="[Normal]"/>
        <w:spacing w:line="360" w:lineRule="auto"/>
        <w:ind w:firstLine="1134"/>
        <w:jc w:val="both"/>
        <w:rPr>
          <w:lang w:val="es-AR" w:eastAsia="es-AR" w:bidi="es-AR"/>
        </w:rPr>
      </w:pPr>
      <w:r>
        <w:rPr>
          <w:lang w:val="es-AR" w:eastAsia="es-AR" w:bidi="es-AR"/>
        </w:rPr>
        <w:t xml:space="preserve">Este informe acredita entonces desde el niño permanece con sus abuelos, pues le brindan estabilidad, viviendo en un contexto familiar (abuelo materno y la tía del menor)  continuando con sus rutinas,  y con una contención física y emocional. No debo dejar de resaltar que con la sentencia, no se privó a los progenitores de su responsabilidad parental (art. 75 inc. 22, art. 3, 24 de la Convención de Derechos del Niño). -</w:t>
      </w:r>
    </w:p>
    <w:p>
      <w:pPr>
        <w:pStyle w:val="[Normal]"/>
        <w:spacing w:line="360" w:lineRule="auto"/>
        <w:ind w:firstLine="1134"/>
        <w:jc w:val="both"/>
        <w:rPr>
          <w:lang w:val="es-AR" w:eastAsia="es-AR" w:bidi="es-AR"/>
        </w:rPr>
      </w:pPr>
      <w:r>
        <w:rPr>
          <w:lang w:val="es-AR" w:eastAsia="es-AR" w:bidi="es-AR"/>
        </w:rPr>
        <w:t xml:space="preserve">El recurrente se agravia de la errónea interpretación que hizo el a quo sobre el informe social agregado el 10/06/2025, más no se desprende de allí elementos que pongan en duda las conclusiones de la experticia ni se han traído otros elementos que la neutralicen (arts. 384, 386 y 474 del CPCC y su doctrina).-</w:t>
      </w:r>
    </w:p>
    <w:p>
      <w:pPr>
        <w:pStyle w:val="[Normal]"/>
        <w:spacing w:line="360" w:lineRule="auto"/>
        <w:ind w:firstLine="1134"/>
        <w:jc w:val="both"/>
        <w:rPr>
          <w:lang w:val="es-AR" w:eastAsia="es-AR" w:bidi="es-AR"/>
        </w:rPr>
      </w:pPr>
      <w:r>
        <w:rPr>
          <w:lang w:val="es-AR" w:eastAsia="es-AR" w:bidi="es-AR"/>
        </w:rPr>
        <w:t xml:space="preserve">Se ha recalcado allí que el niño desarrolla su centro de vida permanente y habitual en el domicilio de sus abuelos maternos G. G. y G. A., quienes se definen por la experta como figuras centrales y jerárquicas en la vida de su nieto, brindando contención y protección inherente a la vida material y afectiva del niño.- Que habitan una casa cómoda, que los abuelos lavan ropa para afuera para solventar los gastos.-</w:t>
      </w:r>
    </w:p>
    <w:p>
      <w:pPr>
        <w:pStyle w:val="[Normal]"/>
        <w:spacing w:line="360" w:lineRule="auto"/>
        <w:ind w:firstLine="1134"/>
        <w:jc w:val="both"/>
        <w:rPr>
          <w:lang w:val="es-AR" w:eastAsia="es-AR" w:bidi="es-AR"/>
        </w:rPr>
      </w:pPr>
      <w:r>
        <w:rPr>
          <w:lang w:val="es-AR" w:eastAsia="es-AR" w:bidi="es-AR"/>
        </w:rPr>
        <w:t xml:space="preserve">El informe también dice que sus padres Sofía y el actor han demostrado un franco abandono y una marcada desvinculación del niño.-</w:t>
      </w:r>
    </w:p>
    <w:p>
      <w:pPr>
        <w:pStyle w:val="[Normal]"/>
        <w:spacing w:line="360" w:lineRule="auto"/>
        <w:ind w:firstLine="1134"/>
        <w:jc w:val="both"/>
        <w:rPr>
          <w:lang w:val="es-AR" w:eastAsia="es-AR" w:bidi="es-AR"/>
        </w:rPr>
      </w:pPr>
      <w:r>
        <w:rPr>
          <w:lang w:val="es-AR" w:eastAsia="es-AR" w:bidi="es-AR"/>
        </w:rPr>
        <w:t xml:space="preserve">El operador atinadamente ha evaluado la proximidad física requerida entre el niño y los solicitantes de la guarda, así como probado el cuidado, vigilancia y asistencia material, habiendo asumido en los hechos las funciones de crianza.-</w:t>
      </w:r>
    </w:p>
    <w:p>
      <w:pPr>
        <w:pStyle w:val="[Normal]"/>
        <w:spacing w:line="360" w:lineRule="auto"/>
        <w:ind w:firstLine="1134"/>
        <w:jc w:val="both"/>
        <w:rPr>
          <w:lang w:val="es-AR" w:eastAsia="es-AR" w:bidi="es-AR"/>
        </w:rPr>
      </w:pPr>
      <w:r>
        <w:rPr>
          <w:lang w:val="es-AR" w:eastAsia="es-AR" w:bidi="es-AR"/>
        </w:rPr>
        <w:t xml:space="preserve">Luce informe ambiental presentado el 10/06/2025 por la Trabajadora Social del Juzgado de Familia realizado en el domicilio de los abuelos (G. B. G. y G. A. donde se constata el grupo familiar conviviente de los nombrados con dos nietos, uno F; J:A: describiéndose el estado del inmueble de 4 dormitorios, disposición de servicios básicos de infraestructura de energía eléctrica, agua corriente, cloaca, gas natural, televisión por cable e internet y en fin equipamiento acorde y suficiente, mencionándose que el hogar se resuelve con los ingresos percibidos por los adultos mayores de sus respectivos haberes jubilatorios y asimismo para disponer de un extra se dedican a lavado de prendas y ropa de cama para afuera, tarea que cumplen en su domicilio.-</w:t>
      </w:r>
    </w:p>
    <w:p>
      <w:pPr>
        <w:pStyle w:val="[Normal]"/>
        <w:spacing w:line="360" w:lineRule="auto"/>
        <w:ind w:firstLine="1134"/>
        <w:jc w:val="both"/>
        <w:rPr>
          <w:lang w:val="es-AR" w:eastAsia="es-AR" w:bidi="es-AR"/>
        </w:rPr>
      </w:pPr>
      <w:r>
        <w:rPr>
          <w:lang w:val="es-AR" w:eastAsia="es-AR" w:bidi="es-AR"/>
        </w:rPr>
        <w:t xml:space="preserve">Las referencias socio sanitarias, situación familiar y apreciación diagnóstica son altamente positivas, señalando la experta que "los guardadores resultan ser figuras centrales y jerárquicas en la vida de sus nietos, brindando con actitud de continencia y protección, todo lo inherente a la vida personal, material y afectiva".-</w:t>
      </w:r>
    </w:p>
    <w:p>
      <w:pPr>
        <w:pStyle w:val="[Normal]"/>
        <w:spacing w:line="360" w:lineRule="auto"/>
        <w:ind w:firstLine="1134"/>
        <w:jc w:val="both"/>
        <w:rPr>
          <w:lang w:val="es-AR" w:eastAsia="es-AR" w:bidi="es-AR"/>
        </w:rPr>
      </w:pPr>
      <w:r>
        <w:rPr>
          <w:lang w:val="es-AR" w:eastAsia="es-AR" w:bidi="es-AR"/>
        </w:rPr>
        <w:t xml:space="preserve">Los testigos G., A. y M. quienes depusieron el 28/03/2024 son claros, contundentes y contestes en afirmar que el niño vive con la abuela y abuelo, que están en un ambiente acogedor, que tanto la madre como el padre tienen serios problemas de conducta (procesos penales, droga), y que no se han ocupado del niño.-</w:t>
      </w:r>
    </w:p>
    <w:p>
      <w:pPr>
        <w:pStyle w:val="[Normal]"/>
        <w:spacing w:line="360" w:lineRule="auto"/>
        <w:ind w:firstLine="1134"/>
        <w:jc w:val="both"/>
        <w:rPr>
          <w:i/>
          <w:lang w:val="es-AR" w:eastAsia="es-AR" w:bidi="es-AR"/>
        </w:rPr>
      </w:pPr>
      <w:r>
        <w:rPr>
          <w:lang w:val="es-AR" w:eastAsia="es-AR" w:bidi="es-AR"/>
        </w:rPr>
        <w:t xml:space="preserve">Del informe realizado por el perito psicólogo surge " </w:t>
      </w:r>
      <w:r>
        <w:rPr>
          <w:i/>
          <w:lang w:val="es-AR" w:eastAsia="es-AR" w:bidi="es-AR"/>
        </w:rPr>
        <w:t xml:space="preserve">De los dichos vertidos por la Sra. G. surge que la misma ha participado activamente de la crianza de su nieto J.(2 años), desde el nacimiento del mismo en forma exclusiva.</w:t>
      </w:r>
    </w:p>
    <w:p>
      <w:pPr>
        <w:pStyle w:val="[Normal]"/>
        <w:spacing w:line="360" w:lineRule="auto"/>
        <w:ind w:firstLine="1134"/>
        <w:jc w:val="both"/>
        <w:rPr>
          <w:i/>
          <w:lang w:val="es-AR" w:eastAsia="es-AR" w:bidi="es-AR"/>
        </w:rPr>
      </w:pPr>
      <w:r>
        <w:rPr>
          <w:i/>
          <w:lang w:val="es-AR" w:eastAsia="es-AR" w:bidi="es-AR"/>
        </w:rPr>
        <w:t xml:space="preserve">Con el devenir del tiempo, por la complejidad de la problemática, Graciela se ha consolidado en este rol de guardadora, asumiendo las funciones parentales respecto de su nieto, al punto tal que el niño la llama “mamá”(sic).</w:t>
      </w:r>
    </w:p>
    <w:p>
      <w:pPr>
        <w:pStyle w:val="[Normal]"/>
        <w:spacing w:line="360" w:lineRule="auto"/>
        <w:ind w:firstLine="1134"/>
        <w:jc w:val="both"/>
        <w:rPr>
          <w:lang w:val="es-AR" w:eastAsia="es-AR" w:bidi="es-AR"/>
        </w:rPr>
      </w:pPr>
      <w:r>
        <w:rPr>
          <w:i/>
          <w:lang w:val="es-AR" w:eastAsia="es-AR" w:bidi="es-AR"/>
        </w:rPr>
        <w:t xml:space="preserve">Al presente, la Sra. G. busca dar un marco legal a dicha situación. Este perito considera que la entrevistada cuenta con las capacidades psíquicas que le permiten asumir el rol de guardadora respecto de su nieto J., y ejercer aquellas funciones inherentes al mismo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otro lado, no ha sido demostrado por el demandado, ni se observa en el caso graves perjuicios o poderosas razones que justifiquen modificar las condiciones en las que vive el menor. Asimismo no ha producido ninguna prueba que acredite las maniobras obstruccionistas y autoritarias que endilga a la accionante ni se ha probado causal alguna que justifique la oposición de la guarda en favor de la G. G., extremo que hacía a su propio interés (art. 375 del CPCC). </w:t>
      </w:r>
    </w:p>
    <w:p>
      <w:pPr>
        <w:pStyle w:val="[Normal]"/>
        <w:spacing w:line="360" w:lineRule="auto"/>
        <w:ind w:firstLine="1134"/>
        <w:jc w:val="both"/>
        <w:rPr>
          <w:lang w:val="es-AR" w:eastAsia="es-AR" w:bidi="es-AR"/>
        </w:rPr>
      </w:pPr>
      <w:r>
        <w:rPr>
          <w:lang w:val="es-AR" w:eastAsia="es-AR" w:bidi="es-AR"/>
        </w:rPr>
        <w:t xml:space="preserve">La solución propiciada por el operador de grado está fundada en la valoración probatoria de acuerdo con las reglas de la sana critica, y la queja sobre la omisión de producir informe sicológico del progenitor que a su criterio llevaría a resultado distinto, no puede prosperar; en tanto la selección  los medios evaluados en forma razonable han llevado a decidir como se hizo y desde aquí se ratifica.-</w:t>
      </w:r>
    </w:p>
    <w:p>
      <w:pPr>
        <w:pStyle w:val="[Normal]"/>
        <w:spacing w:line="360" w:lineRule="auto"/>
        <w:ind w:firstLine="1134"/>
        <w:jc w:val="both"/>
        <w:rPr>
          <w:lang w:val="es-AR" w:eastAsia="es-AR" w:bidi="es-AR"/>
        </w:rPr>
      </w:pPr>
      <w:r>
        <w:rPr>
          <w:lang w:val="es-AR" w:eastAsia="es-AR" w:bidi="es-AR"/>
        </w:rPr>
        <w:t xml:space="preserve">En efecto, la solución que aquí se postula es la que mejor se adecua al interés superior del niño., pauta que guía toda decisión a adoptarse en materia de niñez y que ha sido definida como el conjunto de bienes necesarios para el desarrollo integral y la protección de la persona y los bienes de un menor dado y, entre ellos, el que más conviene en una circunstancia histórica determinada, analizada en concreto, ya que no se concibe un interés del menor puramente abstracto, excluyendo toda consideración dogmática para atender exclusivamente a las circunstancias particulares que presenta cada caso (SCBA C. 102.719, sent. del 30-III-2010).</w:t>
      </w:r>
    </w:p>
    <w:p>
      <w:pPr>
        <w:pStyle w:val="[Normal]"/>
        <w:spacing w:line="360" w:lineRule="auto"/>
        <w:ind w:firstLine="1134"/>
        <w:jc w:val="both"/>
        <w:rPr>
          <w:lang w:val="es-AR" w:eastAsia="es-AR" w:bidi="es-AR"/>
        </w:rPr>
      </w:pPr>
      <w:r>
        <w:rPr>
          <w:lang w:val="es-AR" w:eastAsia="es-AR" w:bidi="es-AR"/>
        </w:rPr>
        <w:t xml:space="preserve">Por todo lo hasta aquí señalado, es que comparto la decisión del magistrado inferior, la cual prioriza el interés superior del menor y mantiene la situación existente, lo que me llevan a proponer al acuerdo, la confirmación de la sentencia apelada, con costas a la apelante perdidosa.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traído, confirmando el decisorio de grado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por auto separado.-</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traído, confirmando el decisorio de grado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por auto separado.</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