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5974-26</w:t>
      </w:r>
      <w:r>
        <w:rPr>
          <w:lang w:val="es-AR" w:eastAsia="es-AR" w:bidi="es-AR"/>
        </w:rPr>
        <w:t xml:space="preserve"> caratulada </w:t>
      </w:r>
      <w:r>
        <w:rPr>
          <w:b/>
          <w:lang w:val="es-AR" w:eastAsia="es-AR" w:bidi="es-AR"/>
        </w:rPr>
        <w:t xml:space="preserve">"</w:t>
      </w:r>
      <w:r>
        <w:rPr>
          <w:b/>
          <w:color w:val="000000"/>
          <w:lang w:val="es-AR" w:eastAsia="es-AR" w:bidi="es-AR"/>
        </w:rPr>
        <w:t xml:space="preserve">A, R, A S/ S/ GUARDA CON FINES DE ADOPCION".</w:t>
      </w:r>
      <w:r>
        <w:rPr>
          <w:b/>
          <w:lang w:val="es-AR" w:eastAsia="es-AR" w:bidi="es-AR"/>
        </w:rPr>
        <w:t xml:space="preserve">"</w:t>
      </w:r>
      <w:r>
        <w:rPr>
          <w:lang w:val="es-AR" w:eastAsia="es-AR" w:bidi="es-AR"/>
        </w:rPr>
        <w:t xml:space="preserve">, Expte. </w:t>
      </w:r>
      <w:r>
        <w:rPr>
          <w:color w:val="000000"/>
          <w:lang w:val="es-AR" w:eastAsia="es-AR" w:bidi="es-AR"/>
        </w:rPr>
        <w:t xml:space="preserve">41.075</w:t>
      </w:r>
      <w:r>
        <w:rPr>
          <w:color w:val="000000"/>
          <w:lang w:val="es-AR" w:eastAsia="es-AR" w:bidi="es-AR"/>
        </w:rPr>
        <w:t xml:space="preserve"> </w:t>
      </w:r>
      <w:r>
        <w:rPr>
          <w:lang w:val="es-AR" w:eastAsia="es-AR" w:bidi="es-AR"/>
        </w:rPr>
        <w:t xml:space="preserve">del Juzgado de Familia N°1,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decretó</w:t>
      </w:r>
      <w:r>
        <w:rPr>
          <w:color w:val="000000"/>
          <w:lang w:val="es-AR" w:eastAsia="es-AR" w:bidi="es-AR"/>
        </w:rPr>
        <w:t xml:space="preserve"> la situación de adoptabilidad de la niña A.R.A, DNI XX hija de la Sra. F. S. A. y del Sr. A. A. M.; nacida el día XX de XX de 2024, debiendo convocarse para la guarda de la misma a una persona o matrimonio o convivientes idóneo conforme el listado previsto por el Ac. 3607/12 de la SCBA. Y toda vez que conforme se expusiera en los considerandos en el día de la fecha se ha resuelto decretar en el Expte. Nº  40074 en trámite ante éste juzgado el estado de desamparo moral y material y consecuente situación de adoptabilidad de la niña R,B.A hermana de la niña A.R.A. también institucionalizada en el Hogar Convivencial de ésta ciudad, requiérase del Registro Central de Aspirantes a Guardas con Fines de Adopción la nómina de postulantes inscriptos que estén dispuestos a adoptar al grupo de hermanos a fin de propiciar con ello la adopción conjunta de las niñas en la misma familia (arts. 15 ley 14.528 y 595 inc d) y 609 inc. c del C.C.C.).  Dispuso la privación de la responsabilidad parental de los progenitores de la niña, Sra. F. S. A. y Sr. A. A. M. ( art. 700 inc. d del C.C.C.). Impuso las costas en el orden causado. No reguló honorarios a la Dra. Carmen Conti, atento desempeñarse en el marco de representación por el Consultorio Jurídico gratuito del CAP; y reguló los honorarios de la Dra. Alonso Negre Ana Teresita y Dra. Montanari Florencia María (art. 9 cap. I inc. L  de la Ley 14.967).- </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 el día 1-12-2025 por la Defensora Oficial patrocinante de la abuela y el 27-11-2025 por la Dra. Ana A. Negre patrocinante del progenitor, ambos concedidos en relación y con efecto suspensivos. El 4-12-2025 fundó su recurso la Dra. Ana A. Negre patrocinante del progenitor y el 10-12-2025 la Defensora Oficial patrocinante de la Abuela. 19-12-2025 la Sra. Asesora de Incapaces presento su dictamen.</w:t>
      </w:r>
    </w:p>
    <w:p>
      <w:pPr>
        <w:pStyle w:val="[Normal]"/>
        <w:spacing w:line="360" w:lineRule="auto"/>
        <w:ind w:firstLine="1134"/>
        <w:jc w:val="both"/>
        <w:rPr>
          <w:lang w:val="es-AR" w:eastAsia="es-AR" w:bidi="es-AR"/>
        </w:rPr>
      </w:pPr>
      <w:r>
        <w:rPr>
          <w:lang w:val="es-AR" w:eastAsia="es-AR" w:bidi="es-AR"/>
        </w:rPr>
        <w:t xml:space="preserve">Elevados los autos a esta Alzada con fecha 10-2-2026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Contra la sentencia de grado expresan sus quejas por un lado el progenitor con el patrocinio letrado de la Secretaria de la Defensoría de Pobres y Ausentes Nro. 2 y la abuela N. A. L., con el patrocinio letrado de la Titular de la Defensoría Oficial Nro 1 Dra Florencia Montanari.-</w:t>
      </w:r>
    </w:p>
    <w:p>
      <w:pPr>
        <w:pStyle w:val="[Normal]"/>
        <w:spacing w:line="360" w:lineRule="auto"/>
        <w:ind w:firstLine="1134"/>
        <w:jc w:val="both"/>
        <w:rPr>
          <w:lang w:val="es-AR" w:eastAsia="es-AR" w:bidi="es-AR"/>
        </w:rPr>
      </w:pPr>
      <w:r>
        <w:rPr>
          <w:lang w:val="es-AR" w:eastAsia="es-AR" w:bidi="es-AR"/>
        </w:rPr>
        <w:t xml:space="preserve">El progenitor en lo que interesa destacar tacha al fallo de injusto, irrazonable e infundado, señalando que la sentencia se basa en un informe del servicio Local de protección que tiene como base una denuncia obrante en la IPP 000030-25/00 y que fuera desestimada.-</w:t>
      </w:r>
    </w:p>
    <w:p>
      <w:pPr>
        <w:pStyle w:val="[Normal]"/>
        <w:spacing w:line="360" w:lineRule="auto"/>
        <w:ind w:firstLine="1134"/>
        <w:jc w:val="both"/>
        <w:rPr>
          <w:lang w:val="es-AR" w:eastAsia="es-AR" w:bidi="es-AR"/>
        </w:rPr>
      </w:pPr>
      <w:r>
        <w:rPr>
          <w:lang w:val="es-AR" w:eastAsia="es-AR" w:bidi="es-AR"/>
        </w:rPr>
        <w:t xml:space="preserve">Que las acciones realizadas por el Servicio Local fueron respecto de la progenitora pero no hubo estrategias con la familia paterna ni se realizaron gestiones encaminadas a escucharlo.-</w:t>
      </w:r>
    </w:p>
    <w:p>
      <w:pPr>
        <w:pStyle w:val="[Normal]"/>
        <w:spacing w:line="360" w:lineRule="auto"/>
        <w:ind w:firstLine="1134"/>
        <w:jc w:val="both"/>
        <w:rPr>
          <w:lang w:val="es-AR" w:eastAsia="es-AR" w:bidi="es-AR"/>
        </w:rPr>
      </w:pPr>
      <w:r>
        <w:rPr>
          <w:lang w:val="es-AR" w:eastAsia="es-AR" w:bidi="es-AR"/>
        </w:rPr>
        <w:t xml:space="preserve">Por otra parte la abuela con el patrocinio respectivo sienta su queja contra el decisorio dando su versión de los hechos y señalando que ha manifestado voluntad de hacerse cargo del cuidado de las nietas, y que previo a la medida de abrigo decretada hizo lo imposible por colaborar con su hijo y su nuera S. para cuidar a sus nietas lo que no fue posible por la inestabilidad y problemática de consumo que aquella padecía.</w:t>
      </w:r>
    </w:p>
    <w:p>
      <w:pPr>
        <w:pStyle w:val="[Normal]"/>
        <w:spacing w:line="360" w:lineRule="auto"/>
        <w:ind w:firstLine="1134"/>
        <w:jc w:val="both"/>
        <w:rPr>
          <w:lang w:val="es-AR" w:eastAsia="es-AR" w:bidi="es-AR"/>
        </w:rPr>
      </w:pPr>
      <w:r>
        <w:rPr>
          <w:lang w:val="es-AR" w:eastAsia="es-AR" w:bidi="es-AR"/>
        </w:rPr>
        <w:t xml:space="preserve">Vuelve a reiterar que visitó siempre a las nietas en el hogar convivencial mientras se mantuvo la medida de abrigo y dejó de hacerlo en un lapso en que su propio hijo discapacitado estuvo internado pero avisando al Hogar.-</w:t>
      </w:r>
    </w:p>
    <w:p>
      <w:pPr>
        <w:pStyle w:val="[Normal]"/>
        <w:spacing w:line="360" w:lineRule="auto"/>
        <w:ind w:firstLine="1134"/>
        <w:jc w:val="both"/>
        <w:rPr>
          <w:lang w:val="es-AR" w:eastAsia="es-AR" w:bidi="es-AR"/>
        </w:rPr>
      </w:pPr>
      <w:r>
        <w:rPr>
          <w:lang w:val="es-AR" w:eastAsia="es-AR" w:bidi="es-AR"/>
        </w:rPr>
        <w:t xml:space="preserve">Achaca que el Servicio no ha demostrado realizar específica y concretamente ninguna medida tendiente a agotar la permanencia de la niña con su familia de origen y que no se verifica el agotamiento de las estrategias de vinculación ni se canalizaron por ninguna vía con la familia paterna.-</w:t>
      </w:r>
    </w:p>
    <w:p>
      <w:pPr>
        <w:pStyle w:val="[Normal]"/>
        <w:spacing w:line="360" w:lineRule="auto"/>
        <w:ind w:firstLine="1134"/>
        <w:jc w:val="both"/>
        <w:rPr>
          <w:lang w:val="es-AR" w:eastAsia="es-AR" w:bidi="es-AR"/>
        </w:rPr>
      </w:pPr>
      <w:r>
        <w:rPr>
          <w:lang w:val="es-AR" w:eastAsia="es-AR" w:bidi="es-AR"/>
        </w:rPr>
        <w:t xml:space="preserve">Y que la denuncia por la cual se originara la intervención del servicio Local fue desestimada.-</w:t>
      </w:r>
    </w:p>
    <w:p>
      <w:pPr>
        <w:pStyle w:val="[Normal]"/>
        <w:spacing w:line="360" w:lineRule="auto"/>
        <w:ind w:firstLine="1134"/>
        <w:jc w:val="both"/>
        <w:rPr>
          <w:lang w:val="es-AR" w:eastAsia="es-AR" w:bidi="es-AR"/>
        </w:rPr>
      </w:pPr>
      <w:r>
        <w:rPr>
          <w:lang w:val="es-AR" w:eastAsia="es-AR" w:bidi="es-AR"/>
        </w:rPr>
        <w:t xml:space="preserve">El 19/12/2025</w:t>
      </w:r>
      <w:r>
        <w:rPr>
          <w:b/>
          <w:lang w:val="es-AR" w:eastAsia="es-AR" w:bidi="es-AR"/>
        </w:rPr>
        <w:t xml:space="preserve"> </w:t>
      </w:r>
      <w:r>
        <w:rPr>
          <w:lang w:val="es-AR" w:eastAsia="es-AR" w:bidi="es-AR"/>
        </w:rPr>
        <w:t xml:space="preserve">luce presentación electrónica de a Sra Asesora de Incapaces quien emite su dictamen aconsejando el rechazo de los recursos y fundando su postura, mencionando expresamente que el servicio Local justamente intervino por pedido de la Fiscalía, adunando que las declaraciones testimoniales de la mencionada causa así como la evaluación del organismo local dan cuenta de lo vivenciado por la menor de edad.-</w:t>
      </w:r>
    </w:p>
    <w:p>
      <w:pPr>
        <w:pStyle w:val="[Normal]"/>
        <w:spacing w:line="360" w:lineRule="auto"/>
        <w:ind w:firstLine="1134"/>
        <w:jc w:val="both"/>
        <w:rPr>
          <w:lang w:val="es-AR" w:eastAsia="es-AR" w:bidi="es-AR"/>
        </w:rPr>
      </w:pPr>
      <w:r>
        <w:rPr>
          <w:lang w:val="es-AR" w:eastAsia="es-AR" w:bidi="es-AR"/>
        </w:rPr>
        <w:t xml:space="preserve">Destaca un marco nocivo y amenazante para la integridad de la niña y señala que el decisorio está alineado con el principio favor debilitatis e interés superior del niño.-</w:t>
      </w:r>
    </w:p>
    <w:p>
      <w:pPr>
        <w:pStyle w:val="[Normal]"/>
        <w:spacing w:line="360" w:lineRule="auto"/>
        <w:ind w:firstLine="1134"/>
        <w:jc w:val="both"/>
        <w:rPr>
          <w:lang w:val="es-AR" w:eastAsia="es-AR" w:bidi="es-AR"/>
        </w:rPr>
      </w:pPr>
      <w:r>
        <w:rPr>
          <w:lang w:val="es-AR" w:eastAsia="es-AR" w:bidi="es-AR"/>
        </w:rPr>
        <w:t xml:space="preserve">En segundo lugar y respecto a la falta de citación dice que carece de todo asidero teniendo en cuenta las intervenciones desplegadas por el organismo de protección y además habrá que valorarse que si hubiera existido un interés genuino y real del recurrente habría canalizado a través de acciones positivas.-</w:t>
      </w:r>
    </w:p>
    <w:p>
      <w:pPr>
        <w:pStyle w:val="[Normal]"/>
        <w:spacing w:line="360" w:lineRule="auto"/>
        <w:ind w:firstLine="1134"/>
        <w:jc w:val="both"/>
        <w:rPr>
          <w:lang w:val="es-AR" w:eastAsia="es-AR" w:bidi="es-AR"/>
        </w:rPr>
      </w:pPr>
      <w:r>
        <w:rPr>
          <w:lang w:val="es-AR" w:eastAsia="es-AR" w:bidi="es-AR"/>
        </w:rPr>
        <w:t xml:space="preserve">Aduna que A. no ubica las causas graves que dieron origen a la medida luciendo evidente la negación absoluta de las vulneraciones a las que resultara expuesta su hija y no puede dar cuenta de la responsabilidad que le cabe tal como lo expresa el Servicio Local en su informe, siendo contundente la representante pupilar en afirmar que no se encuentra capacitado para ejercer con responsabilidad la función parental.</w:t>
      </w:r>
    </w:p>
    <w:p>
      <w:pPr>
        <w:pStyle w:val="[Normal]"/>
        <w:spacing w:line="360" w:lineRule="auto"/>
        <w:ind w:firstLine="1134"/>
        <w:jc w:val="both"/>
        <w:rPr>
          <w:lang w:val="es-AR" w:eastAsia="es-AR" w:bidi="es-AR"/>
        </w:rPr>
      </w:pPr>
      <w:r>
        <w:rPr>
          <w:lang w:val="es-AR" w:eastAsia="es-AR" w:bidi="es-AR"/>
        </w:rPr>
        <w:t xml:space="preserve">ANTECEDENTES: La sentencia involucra a la menor A.R.A y está conectada con el Expte. Nro. 41074 (5973)  relativo a la menor A.R.B.  en tanto se trata de dos hermanas, y si bien se han dictado dos pronunciamientos diferentes en primera instancia, la problemática es abarcativa de los dos menores, dándose tratamiento diferenciado porque no se dispuso su acumulación antes del dictado de la sentencia por el juez de grado. Ni tampoco fue pedida por la Sra Asesora de Incapaces actuante. (art. 190, 194 y ccs del CPCC).  De lo que resulta que han de dictarse dos sentencias, (una en cada expediente) respecto de estas dos hermanas menores.-</w:t>
      </w:r>
    </w:p>
    <w:p>
      <w:pPr>
        <w:pStyle w:val="[Normal]"/>
        <w:spacing w:line="360" w:lineRule="auto"/>
        <w:ind w:firstLine="1134"/>
        <w:jc w:val="both"/>
        <w:rPr>
          <w:lang w:val="es-AR" w:eastAsia="es-AR" w:bidi="es-AR"/>
        </w:rPr>
      </w:pPr>
      <w:r>
        <w:rPr>
          <w:lang w:val="es-AR" w:eastAsia="es-AR" w:bidi="es-AR"/>
        </w:rPr>
        <w:t xml:space="preserve">Las problemáticas que directa o indirectamente afectaron a las niñas han quedado reflejadas en los diversos informes obrantes en estos actuados, los que reseñaré de manera muy sucinta, sin perjuicio de volver sobre ellos más adelante, en la medida que resulte necesario.</w:t>
      </w:r>
    </w:p>
    <w:p>
      <w:pPr>
        <w:pStyle w:val="[Normal]"/>
        <w:spacing w:line="360" w:lineRule="auto"/>
        <w:ind w:firstLine="1134"/>
        <w:jc w:val="both"/>
        <w:rPr>
          <w:lang w:val="es-AR" w:eastAsia="es-AR" w:bidi="es-AR"/>
        </w:rPr>
      </w:pPr>
      <w:r>
        <w:rPr>
          <w:lang w:val="es-AR" w:eastAsia="es-AR" w:bidi="es-AR"/>
        </w:rPr>
        <w:t xml:space="preserve">Trátase aquí el caso de la menor A.R.A.</w:t>
      </w:r>
    </w:p>
    <w:p>
      <w:pPr>
        <w:pStyle w:val="[Normal]"/>
        <w:spacing w:line="360" w:lineRule="auto"/>
        <w:ind w:firstLine="1134"/>
        <w:jc w:val="both"/>
        <w:rPr>
          <w:lang w:val="es-AR" w:eastAsia="es-AR" w:bidi="es-AR"/>
        </w:rPr>
      </w:pPr>
      <w:r>
        <w:rPr>
          <w:lang w:val="es-AR" w:eastAsia="es-AR" w:bidi="es-AR"/>
        </w:rPr>
        <w:t xml:space="preserve">En fecha 2/07/2025 el SLPPDN  informa la adopción de medida de abrigo (art. 35 inc 1 ley 13.298 t.o s/ ley 14.537 en relación a la menor causante, efectivizándose en el Hogar Convivencial de Pergamino, señalando que respecto de la niña este organismo adoptó dos medidas de abrigo, la primera tuvo lugar en el mes de julio de 2024, cuando apenas tenía meses de nacida debido a que la niña debió ser hospitalizada y al momento del alta su madre había sido "echada" del hogar tanto por su pareja y padre de su hija como de los abuelos de la niña.-</w:t>
      </w:r>
    </w:p>
    <w:p>
      <w:pPr>
        <w:pStyle w:val="[Normal]"/>
        <w:spacing w:line="360" w:lineRule="auto"/>
        <w:ind w:firstLine="1134"/>
        <w:jc w:val="both"/>
        <w:rPr>
          <w:lang w:val="es-AR" w:eastAsia="es-AR" w:bidi="es-AR"/>
        </w:rPr>
      </w:pPr>
      <w:r>
        <w:rPr>
          <w:lang w:val="es-AR" w:eastAsia="es-AR" w:bidi="es-AR"/>
        </w:rPr>
        <w:t xml:space="preserve">Y la segunda medida de abrigo se toma en enero de 2025 en razón de una denuncia contra el Sr. A. por malos tratos hacia las niñas. Que la madre se había ido a vivir a Rosario sin conocerse su paradero y que sólo se acercó a visitarlas su abuela paterna pero que la misma ha demostrado una mirada de negación de la situación con una actitud defensiva respecto de su hijo.- Que en el grupo familiar del progenitor existe un destrato describiendo hechos delictivos, consumo, violencia donde resulta difícil que las menores puedan crecer y desarrollarse.-</w:t>
      </w:r>
    </w:p>
    <w:p>
      <w:pPr>
        <w:pStyle w:val="[Normal]"/>
        <w:spacing w:line="360" w:lineRule="auto"/>
        <w:ind w:firstLine="1134"/>
        <w:jc w:val="both"/>
        <w:rPr>
          <w:lang w:val="es-AR" w:eastAsia="es-AR" w:bidi="es-AR"/>
        </w:rPr>
      </w:pPr>
      <w:r>
        <w:rPr>
          <w:lang w:val="es-AR" w:eastAsia="es-AR" w:bidi="es-AR"/>
        </w:rPr>
        <w:t xml:space="preserve">En fecha 2/07/2025 los responsables del Servicio Local de promoción y Protección de Derechos del Niño de Pergamino se presentan solicitando se decrete el estado de adoptabilidad de la niña A.R.A. atento que las estrategias implementadas para lograr la revinculación de la misma con su grupo familiar, no han dado los resultados esperados, persistiendo los obstáculos que dieron lugar a la medida.- Acompañaron en su presentación, el informe de antecedentes del caso conforme lo previsto por el art. 12 ley 15.528.-</w:t>
      </w:r>
    </w:p>
    <w:p>
      <w:pPr>
        <w:pStyle w:val="[Normal]"/>
        <w:spacing w:line="360" w:lineRule="auto"/>
        <w:ind w:firstLine="1134"/>
        <w:jc w:val="both"/>
        <w:rPr>
          <w:lang w:val="es-AR" w:eastAsia="es-AR" w:bidi="es-AR"/>
        </w:rPr>
      </w:pPr>
      <w:r>
        <w:rPr>
          <w:lang w:val="es-AR" w:eastAsia="es-AR" w:bidi="es-AR"/>
        </w:rPr>
        <w:t xml:space="preserve">En ese informe describen que la madre se fue a vivir a Rosario, desconociendo su lugar de residencia, refiriendo que fue a vivir con una amiga y trabajar de niñera, solicitando sean alojadas en un hogar convivencial de Rosario para que ella pueda visitarlas, y respecto de la familia paterna el informe describe que se hizo presente la abuela paterna visitando a las niñas ocasionalmente en el hogar y defendiendo al hijo, negando maltrato.-</w:t>
      </w:r>
    </w:p>
    <w:p>
      <w:pPr>
        <w:pStyle w:val="[Normal]"/>
        <w:spacing w:line="360" w:lineRule="auto"/>
        <w:ind w:firstLine="1134"/>
        <w:jc w:val="both"/>
        <w:rPr>
          <w:lang w:val="es-AR" w:eastAsia="es-AR" w:bidi="es-AR"/>
        </w:rPr>
      </w:pPr>
      <w:r>
        <w:rPr>
          <w:lang w:val="es-AR" w:eastAsia="es-AR" w:bidi="es-AR"/>
        </w:rPr>
        <w:t xml:space="preserve">El Servicio resalta que las niñas presentaban signos de maltrato y descuido, falta de aseo, cola paspada, entre otras, y describen que en más de una oportunidad echó a S. (la madre) junto a sus nietas pequeñas a la calle, cada vez que S. discutía con su hijo, apañando a éste sin importarle la situación de las menores.-</w:t>
      </w:r>
    </w:p>
    <w:p>
      <w:pPr>
        <w:pStyle w:val="[Normal]"/>
        <w:spacing w:line="360" w:lineRule="auto"/>
        <w:ind w:firstLine="1134"/>
        <w:jc w:val="both"/>
        <w:rPr>
          <w:lang w:val="es-AR" w:eastAsia="es-AR" w:bidi="es-AR"/>
        </w:rPr>
      </w:pPr>
      <w:r>
        <w:rPr>
          <w:lang w:val="es-AR" w:eastAsia="es-AR" w:bidi="es-AR"/>
        </w:rPr>
        <w:t xml:space="preserve">"Respecto de la irreversibilidad de la situación de vulnerabilidad: destaca el equipo que desde el inicio de la medida y durante todo el acompañamiento del grupo familiar se observa que existe una imposibilidad real de que los adultos responsables puedan contener a esta dos niñas, ya sea desde lo material o emocional.- Existe un destrato o trato negligente o violencia naturalizada que no logra entender que existen cuestiones que no son sanas para las niñas.- En un ambiente de violencia, consumo, hechos delictivos resulta difícil que las menores puedan crecer y desarrollarse".-</w:t>
      </w:r>
    </w:p>
    <w:p>
      <w:pPr>
        <w:pStyle w:val="[Normal]"/>
        <w:spacing w:line="360" w:lineRule="auto"/>
        <w:ind w:firstLine="1134"/>
        <w:jc w:val="both"/>
        <w:rPr>
          <w:lang w:val="es-AR" w:eastAsia="es-AR" w:bidi="es-AR"/>
        </w:rPr>
      </w:pPr>
      <w:r>
        <w:rPr>
          <w:lang w:val="es-AR" w:eastAsia="es-AR" w:bidi="es-AR"/>
        </w:rPr>
        <w:t xml:space="preserve">Este informe brindado por el Servicio Local de Protección es contundente y no se ha arrimado prueba que neutralice el mismo o ponga en dudas sus conclusiones.-</w:t>
      </w:r>
    </w:p>
    <w:p>
      <w:pPr>
        <w:pStyle w:val="[Normal]"/>
        <w:spacing w:line="360" w:lineRule="auto"/>
        <w:ind w:firstLine="1134"/>
        <w:jc w:val="both"/>
        <w:rPr>
          <w:lang w:val="es-AR" w:eastAsia="es-AR" w:bidi="es-AR"/>
        </w:rPr>
      </w:pPr>
      <w:r>
        <w:rPr>
          <w:lang w:val="es-AR" w:eastAsia="es-AR" w:bidi="es-AR"/>
        </w:rPr>
        <w:t xml:space="preserve">Pero además la causa exhibe el recorrido procesal exigido por la ley: que en fecha 3/07/2025 se fijó audiencia para oír personalmente a los progenitores y abuela paterna conforme el art. 12 Ley 14.528 b) en fecha 16/07/2025 se agrega acta que da cuenta de la audiencia celebrada con Axel Amarillo (progenitor de la niña asistido por la representante de la Defensoría Oficial Nro 2), audiencia con la abuela paterna en fecha 16/07/2025, ambos manifestaron su deseo de hacerse cargo de las menores; 21/8/2025 acta de audiencia celebrada con S. F. progenitora de la niña asistida por el Consultorio Jurídico Gratuito Dra Carmen Conti, quien manifiesta el mismo deseo.-</w:t>
      </w:r>
    </w:p>
    <w:p>
      <w:pPr>
        <w:pStyle w:val="[Normal]"/>
        <w:spacing w:line="360" w:lineRule="auto"/>
        <w:ind w:firstLine="1134"/>
        <w:jc w:val="both"/>
        <w:rPr>
          <w:lang w:val="es-AR" w:eastAsia="es-AR" w:bidi="es-AR"/>
        </w:rPr>
      </w:pPr>
      <w:r>
        <w:rPr>
          <w:lang w:val="es-AR" w:eastAsia="es-AR" w:bidi="es-AR"/>
        </w:rPr>
        <w:t xml:space="preserve">El aquo teniendo en cuenta la edad no procede a realizar audiencia respecto de la niña.-</w:t>
      </w:r>
    </w:p>
    <w:p>
      <w:pPr>
        <w:pStyle w:val="[Normal]"/>
        <w:spacing w:line="360" w:lineRule="auto"/>
        <w:ind w:firstLine="1134"/>
        <w:jc w:val="both"/>
        <w:rPr>
          <w:lang w:val="es-AR" w:eastAsia="es-AR" w:bidi="es-AR"/>
        </w:rPr>
      </w:pPr>
      <w:r>
        <w:rPr>
          <w:lang w:val="es-AR" w:eastAsia="es-AR" w:bidi="es-AR"/>
        </w:rPr>
        <w:t xml:space="preserve">Se verifica también el 7/8/2025 informe del padre y la abuela por el equipo interdisciplinario, en fecha 25/08/2025 informe en relación a la señora F., en fecha 18/09/2025 informe ambiental elaborado por la Perito del Juzgado de Familia y luce dictamen de la Asesora de Incapaces en fecha 29/09/2025.-</w:t>
      </w:r>
    </w:p>
    <w:p>
      <w:pPr>
        <w:pStyle w:val="[Normal]"/>
        <w:spacing w:line="360" w:lineRule="auto"/>
        <w:ind w:firstLine="1134"/>
        <w:jc w:val="both"/>
        <w:rPr>
          <w:lang w:val="es-AR" w:eastAsia="es-AR" w:bidi="es-AR"/>
        </w:rPr>
      </w:pPr>
      <w:r>
        <w:rPr>
          <w:lang w:val="es-AR" w:eastAsia="es-AR" w:bidi="es-AR"/>
        </w:rPr>
        <w:t xml:space="preserve">Esta enumeración cronológica muestra los derroteros de la presente causa, la intervención múltiple de diversos órganos del Estado: tanto los que dependen del Poder Ejecutivo, así como también el equipo interdisciplinario del Tribunal de Familia, el control jurisdiccional de lo realizado por el Juez de grado, así como la intervención del Ministerio Público a través de la Asesoras de Incapaces de este Departamento Judicial.</w:t>
      </w:r>
    </w:p>
    <w:p>
      <w:pPr>
        <w:pStyle w:val="[Normal]"/>
        <w:spacing w:line="360" w:lineRule="auto"/>
        <w:ind w:firstLine="1134"/>
        <w:jc w:val="both"/>
        <w:rPr>
          <w:lang w:val="es-AR" w:eastAsia="es-AR" w:bidi="es-AR"/>
        </w:rPr>
      </w:pPr>
      <w:r>
        <w:rPr>
          <w:lang w:val="es-AR" w:eastAsia="es-AR" w:bidi="es-AR"/>
        </w:rPr>
        <w:t xml:space="preserve">Pero este esfuerzo multidireccional y multiorgánico también muestra la impotencia del Estado a través de sus órganos, para resolver la situación de una niña que se encuentra con una medida de abrigo, prorrogada en el tiempo y viviendo en el Hogar Convivencial, sin perspectivas de que dicha situación cambie, salvo que se adopten soluciones definitivas o tendientes a dar otra alternativa para modificar este estado de cosas, a lo que aspira esta sentencia.-</w:t>
      </w:r>
    </w:p>
    <w:p>
      <w:pPr>
        <w:pStyle w:val="[Normal]"/>
        <w:spacing w:line="360" w:lineRule="auto"/>
        <w:ind w:firstLine="1134"/>
        <w:jc w:val="both"/>
        <w:rPr>
          <w:lang w:val="es-AR" w:eastAsia="es-AR" w:bidi="es-AR"/>
        </w:rPr>
      </w:pPr>
      <w:r>
        <w:rPr>
          <w:lang w:val="es-AR" w:eastAsia="es-AR" w:bidi="es-AR"/>
        </w:rPr>
        <w:t xml:space="preserve">En síntesis y sobre la situación real quedó probado que desde la fecha apuntada hasta el presente, continúa con una medida de abrigo viviendo en el Hogar Convivencial, sin que se haya logrado una alternativa para ella.</w:t>
      </w:r>
    </w:p>
    <w:p>
      <w:pPr>
        <w:pStyle w:val="[Normal]"/>
        <w:spacing w:line="360" w:lineRule="auto"/>
        <w:ind w:firstLine="1134"/>
        <w:jc w:val="both"/>
        <w:rPr>
          <w:lang w:val="es-AR" w:eastAsia="es-AR" w:bidi="es-AR"/>
        </w:rPr>
      </w:pPr>
      <w:r>
        <w:rPr>
          <w:lang w:val="es-AR" w:eastAsia="es-AR" w:bidi="es-AR"/>
        </w:rPr>
        <w:t xml:space="preserve">RESOLUCION: Para comenzar acudo al precedente Reg. 154 Folio 618 fecha 15/12/2020, de la Excma. Cámara de Apelación en lo Civil y Comercial de Azul donde la distinguida colega Dra. Lucrecia Comparato en un brillante primer voto resume de modo lúcido y contundente el tema que nos ocupa, que resulta aquí aplicable señalando "que la cuestión traída a juzgamiento traduce uno de los conflictos más álgidos y sensibles del Derecho de Familia, y se conecta a numerosas cuestiones, como lo son el rol de la familia biológica, las políticas públicas de fortalecimiento familiar, el derecho del niño a vivir en una familia que lo contenga, proteja y cuide, la necesidad de poner fin a una situación de indefinición y provisoriedad que se mantiene en el tiempo en perjuicio de las personas menores de edad involucradas, entre otras de igual trascendencia (ver Kemelmajer de Carlucci, Aída y Herrera, Marisa, "Familia de origen vs. familia adoptiva: De las difíciles disyuntivas que involucra la adopción", LL 2011-F-225; entre otros; esta Sala, causas n° 58.609 "Méndez Acevedo…" del 20.05.2014, n° 62.000 "Constantino…" del 29.12.2017, n° 64.338 "Frías…" del 24.09.2019, entre otras)."</w:t>
      </w:r>
    </w:p>
    <w:p>
      <w:pPr>
        <w:pStyle w:val="[Normal]"/>
        <w:spacing w:line="360" w:lineRule="auto"/>
        <w:ind w:firstLine="1134"/>
        <w:jc w:val="both"/>
        <w:rPr>
          <w:lang w:val="es-AR" w:eastAsia="es-AR" w:bidi="es-AR"/>
        </w:rPr>
      </w:pPr>
      <w:r>
        <w:rPr>
          <w:lang w:val="es-AR" w:eastAsia="es-AR" w:bidi="es-AR"/>
        </w:rPr>
        <w:t xml:space="preserve">"Al respecto, y tal como ha puesto de resalto la jurisprudencia, el punto de partida de todo análisis en que los derechos del niño estén afectados es la Convención Internacional de Derechos del Niño (CIDN), la cual goza en nuestro ordenamiento de jerarquía constitucional desde la reforma del año 1994 (conf. art. 75 inc. 22); y cuyo principio rector exige a las instituciones públicas y privadas atender al interés superior del niño cuando se tomen decisiones que conciernan a su persona. Este principio debe ser entendido desde una comprensión integral y armónica de todas las directivas contenidas en la Convención (ver CCC Mercedes, Sala I, en causa "M., D. s/ Medida de abrigo" del 08.11.2013, publicado en "Revista de Derecho de Familia y de la Persona", La Ley, enero de 2014, pág. 86 y ss; y en causa n° 113.401 "S. M., s/ Art. 19 C.I.D.N." del 23.06.2011, LLBA, octubre de 2011, pág. 1034 y ss; entre otras).  Así, el art. 7.1 prescribe que el niño tiene derecho desde que nace a un nombre, a adquirir una nacionalidad y, en la medida de lo posible, a conocer a sus padres y a ser cuidado por ellos. Concordantemente, el art. 8.1 dice que los Estados partes se comprometen a respetar el derecho del niño a preservar su identidad, incluidos la nacionalidad, el nombre y las relaciones familiares de conformidad con la ley sin injerencias ilícitas.  A su vez, el art. 9.1 prescribe que los Estados partes deben velar por que el niño no sea separado de sus padres contra la voluntad de éstos, excepto cuando -a reserva de revisión judicial- las autoridades competentes determinen, de conformidad con la ley y los procedimientos aplicables, que tal separación es necesaria por su interés superior. Y agrega a continuación que esa determinación puede ser necesaria, entre otros motivos, cuando el niño sea objeto de maltrato o descuido por parte de sus padres."</w:t>
      </w:r>
    </w:p>
    <w:p>
      <w:pPr>
        <w:pStyle w:val="[Normal]"/>
        <w:spacing w:line="360" w:lineRule="auto"/>
        <w:ind w:firstLine="1134"/>
        <w:jc w:val="both"/>
        <w:rPr>
          <w:lang w:val="es-AR" w:eastAsia="es-AR" w:bidi="es-AR"/>
        </w:rPr>
      </w:pPr>
      <w:r>
        <w:rPr>
          <w:lang w:val="es-AR" w:eastAsia="es-AR" w:bidi="es-AR"/>
        </w:rPr>
        <w:t xml:space="preserve">"Y en la misma línea se enmarca la legislación interna aplicable al caso de autos, la cual resulta ser aquélla contenida en el Código Civil y Comercial de la Nación (ley 26.994 promulgada según Decreto 1795/2014 y publicado en el Boletín Oficial N° 32.985 del 8.10.2014; con la modificación introducida por la ley 27.077 cuyo art. 1° sustituyó el art. 7° de aquella y dispuso su entrada en vigencia a partir del día 01.08.2015) y sus leyes complementarias -en lo que aquí interesa, ley nacional 26.061 y leyes provinciales 13.298 y 14.528-".</w:t>
      </w:r>
    </w:p>
    <w:p>
      <w:pPr>
        <w:pStyle w:val="[Normal]"/>
        <w:spacing w:line="360" w:lineRule="auto"/>
        <w:ind w:firstLine="1134"/>
        <w:jc w:val="both"/>
        <w:rPr>
          <w:lang w:val="es-AR" w:eastAsia="es-AR" w:bidi="es-AR"/>
        </w:rPr>
      </w:pPr>
      <w:r>
        <w:rPr>
          <w:lang w:val="es-AR" w:eastAsia="es-AR" w:bidi="es-AR"/>
        </w:rPr>
        <w:t xml:space="preserve">"Al respecto, se observa que el art. 35 bis de la ley 13.298 y el art. 39 de la ley 26.061 regulan, mediante un tipo jurídico abierto, las denominadas medidas excepcionales de protección o medidas de abrigo, que de modo restrictivo y ante la concurrencia de ciertas circunstancias especiales pueden dictar los organismos administrativos, y cuyo elemento o particularidad reside en la separación temporal y provisional de un niño de su grupo familiar de origen -tal como la oportunamente dictada por el Servicio Local de Protección de la ciudad de Olavarría respecto de los niños Rodrigo y Priscila, dando origen a los presentes actuados-." Cfr Reg. 154/2020 CAP Azul."</w:t>
      </w:r>
    </w:p>
    <w:p>
      <w:pPr>
        <w:pStyle w:val="[Normal]"/>
        <w:spacing w:line="360" w:lineRule="auto"/>
        <w:ind w:firstLine="1134"/>
        <w:jc w:val="both"/>
        <w:rPr>
          <w:lang w:val="es-AR" w:eastAsia="es-AR" w:bidi="es-AR"/>
        </w:rPr>
      </w:pPr>
      <w:r>
        <w:rPr>
          <w:lang w:val="es-AR" w:eastAsia="es-AR" w:bidi="es-AR"/>
        </w:rPr>
        <w:t xml:space="preserve">Resulta ilustrativo el dictamen  de la Sra Asesora de Incapaces en punto a la imposibilidad de revertir las causas que llevaron a la protección de la menor mediante el abrigo, y la irreversibilidad de las circunstancias que legitimaron  la protección del Estado.-</w:t>
      </w:r>
    </w:p>
    <w:p>
      <w:pPr>
        <w:pStyle w:val="[Normal]"/>
        <w:spacing w:line="360" w:lineRule="auto"/>
        <w:ind w:firstLine="1134"/>
        <w:jc w:val="both"/>
        <w:rPr>
          <w:lang w:val="es-AR" w:eastAsia="es-AR" w:bidi="es-AR"/>
        </w:rPr>
      </w:pPr>
      <w:r>
        <w:rPr>
          <w:lang w:val="es-AR" w:eastAsia="es-AR" w:bidi="es-AR"/>
        </w:rPr>
        <w:t xml:space="preserve">Respecto a la manifestación de la madre, padre y abuela paterna que desean permanecer con la menor estimo que ha de ponerse en su justa medida.- Es que no resulta ser un impedimento para la declaración del  estado de adoptabilidad cuando existan circunstancias objetivas de las que se desprenda la existencia de una situación de grave vulneración de los  derechos humanos fundamentales en el ámbito familiar de origen y la no reversión de dicha situación durante la vigencia de la medida de protección; pues sostener lo contrario atentaría contra su interés superior.  </w:t>
      </w:r>
    </w:p>
    <w:p>
      <w:pPr>
        <w:pStyle w:val="[Normal]"/>
        <w:spacing w:line="360" w:lineRule="auto"/>
        <w:ind w:firstLine="1134"/>
        <w:jc w:val="both"/>
        <w:rPr>
          <w:lang w:val="es-AR" w:eastAsia="es-AR" w:bidi="es-AR"/>
        </w:rPr>
      </w:pPr>
      <w:r>
        <w:rPr>
          <w:lang w:val="es-AR" w:eastAsia="es-AR" w:bidi="es-AR"/>
        </w:rPr>
        <w:t xml:space="preserve">Respecto de la progenitora, el padre y la abuela paterna han de evaluarse que la sola manifestación negativa, debe confrontarse con lo que la niña vive en la realidad: dos medidas de abrigo, maltrato, violencia naturalizada, consumo, internación en un Hogar Convivencial dispuesta por el Estado a través de sus Servicios para evitar mayores perjuicios, que no vive con su madre, la situación particular que la madre presenta, la poca contención por parte de la abuela paterna siendo que esta madre ha sido echada por la misma, la mala relación con el padre de las menores.</w:t>
      </w:r>
    </w:p>
    <w:p>
      <w:pPr>
        <w:pStyle w:val="[Normal]"/>
        <w:spacing w:line="360" w:lineRule="auto"/>
        <w:ind w:firstLine="1134"/>
        <w:jc w:val="both"/>
        <w:rPr>
          <w:lang w:val="es-AR" w:eastAsia="es-AR" w:bidi="es-AR"/>
        </w:rPr>
      </w:pPr>
      <w:r>
        <w:rPr>
          <w:lang w:val="es-AR" w:eastAsia="es-AR" w:bidi="es-AR"/>
        </w:rPr>
        <w:t xml:space="preserve">Resultan ilustrativas las reflexiones adoptadas en el fallo de Azul mencionado y aquí las aplico "Conforme el ordenamiento jurídico vigente, un estándar regional exige respetar el derecho del niño a vivir en familia, siendo en principio la familia biológica la institución primordial para que los niños y adolescentes desarrollen el ejercicio pleno de sus derechos y, por tanto, la que debe ser objeto prioritario de protección y principal destinatario de las medidas de acción positiva a cuya adopción el Estado se encuentra obligado en pos de lograr su fortalecimiento económico y social (art. 7° y cc de la Convención sobre los Derechos del Niño; art. 75 inc. 23 de la Constitución nacional; Corte Interamericana de Derechos Humanos -en adelante CIDH- en autos "Fornerón e hija vs. Argentina", del 27.04.2012; CIDH, Opinión Consultiva 17/2008, párrafos 62-70; arts. 7°, 10 y cc de la ley 26.061 y decreto reglamentario 415/2006; art. 3° y cc de la ley 13.298).-</w:t>
      </w:r>
    </w:p>
    <w:p>
      <w:pPr>
        <w:pStyle w:val="[Normal]"/>
        <w:spacing w:line="360" w:lineRule="auto"/>
        <w:ind w:firstLine="1134"/>
        <w:jc w:val="both"/>
        <w:rPr>
          <w:lang w:val="es-AR" w:eastAsia="es-AR" w:bidi="es-AR"/>
        </w:rPr>
      </w:pPr>
      <w:r>
        <w:rPr>
          <w:lang w:val="es-AR" w:eastAsia="es-AR" w:bidi="es-AR"/>
        </w:rPr>
        <w:t xml:space="preserve">"Sin embargo no es menos cierto que, conforme lo dispone también expresamente el ordenamiento jurídico vigente, ello será así en tanto el grupo familiar esté en condiciones de cumplir con las obligaciones de cuidado, crianza y protección. Y ello pues el derecho del niño a vivir en su núcleo familiar de origen, si bien resulta ser un derecho humano fundamental, no reviste carácter absoluto, pues como todo derecho tiene un límite: en el caso de autos, que su permanencia en el seno de su familia biológica sea contraria a su propio interés; esto es, que el derecho del niño a vivir con su familia de origen se halle en conflicto con el derecho a la integridad y dignidad de la persona menor de edad (art. 8° y cc de la Convención sobre los Derechos del Niño; art. 7°, 10, 37, 39, 41 y cc ley 26.061 y decreto reglamentario 415/2006; art. 35 bis y cc ley 13.298; CIDH, Opinión Consultiva 17/2008, párrafos 71-77; CIDH, en autos "Fornerón e hija vs. Argentina", del 27.04.2012; esta Sala, causas n° 63759 y n° 63760 "Indavera…", del 30.04.2019; n° 63.875 "Bustamante…", del 17.05.2019; n° 63.559 "Almeira…", del 11.06.2019; n° 64.338 "Frías…", del 24.09.2019; entre otras)".-</w:t>
      </w:r>
    </w:p>
    <w:p>
      <w:pPr>
        <w:pStyle w:val="[Normal]"/>
        <w:spacing w:line="360" w:lineRule="auto"/>
        <w:ind w:firstLine="1134"/>
        <w:jc w:val="both"/>
        <w:rPr>
          <w:lang w:val="es-AR" w:eastAsia="es-AR" w:bidi="es-AR"/>
        </w:rPr>
      </w:pPr>
      <w:r>
        <w:rPr>
          <w:lang w:val="es-AR" w:eastAsia="es-AR" w:bidi="es-AR"/>
        </w:rPr>
        <w:t xml:space="preserve">Y fue justamente ese el motivo que llevó al "organismo administrativo" de protección (conf. terminología del art. 607 inc. "c" del Código Civil y Comercial) a adoptar, las medidas de abrigo ya referidas respecto de la niña involucrada en el caso de marras; en atención a la reiterada y sistemática vulneración de diversos derechos fundamentales y la ausencia absoluta de problematización de la progenitora respecto de dicha situación, del padre y la abuela paterna, proyectando las responsabilidades en terceros y desoyendo las diversas recomendaciones de los organismos administrativos y de las distintas instituciones intervinientes para procurar revertir dicho escenario." cfr voto de la Dra Lucrecia Comparato causa citada Cap Azul.-</w:t>
      </w:r>
    </w:p>
    <w:p>
      <w:pPr>
        <w:pStyle w:val="[Normal]"/>
        <w:spacing w:line="360" w:lineRule="auto"/>
        <w:ind w:firstLine="1134"/>
        <w:jc w:val="both"/>
        <w:rPr>
          <w:lang w:val="es-AR" w:eastAsia="es-AR" w:bidi="es-AR"/>
        </w:rPr>
      </w:pPr>
      <w:r>
        <w:rPr>
          <w:lang w:val="es-AR" w:eastAsia="es-AR" w:bidi="es-AR"/>
        </w:rPr>
        <w:t xml:space="preserve">No cambia esta perspectiva la desestimación de una denuncia realizada en el marco de la IPP 12-00-000030-25/00 en cuanto allí se actuó a raíz de la propuesta del Servicio Local pero además, la persecución estatal de los delitos representada a través de la figura de un Fiscal busca justamente un objetivo normativo, esto es la configuración del tipo penal; y aquí claramente se trata de un drama socio familiar cultural con dos niñas en riesgo.- Por lo que cabe concluir que una desestimación de denuncia lejos está de despejar las dudas respecto del interés superior de una niña en estado de vulnerabilidad.-</w:t>
      </w:r>
    </w:p>
    <w:p>
      <w:pPr>
        <w:pStyle w:val="[Normal]"/>
        <w:spacing w:line="360" w:lineRule="auto"/>
        <w:ind w:firstLine="1134"/>
        <w:jc w:val="both"/>
        <w:rPr>
          <w:lang w:val="es-AR" w:eastAsia="es-AR" w:bidi="es-AR"/>
        </w:rPr>
      </w:pPr>
      <w:r>
        <w:rPr>
          <w:lang w:val="es-AR" w:eastAsia="es-AR" w:bidi="es-AR"/>
        </w:rPr>
        <w:t xml:space="preserve">Que en cuanto a la conducta desplegada por la progenitora y los resultados evidenciados durante la vigencia de las medidas de abrigo en ciernes, se observa que del informe inicial de adopción de medida de abrigo y plan estratégico de restitución de derechos, como así también de los informes de seguimiento elaborados por el Servicio Local -muchos de ellos en base a lo informado desde los Hogares-, se desprende en lo sustancial  la falta de progreso en cuanto a la reinserción al hogar materno, las dificultades exhibidas por la progenitora, el contexto de violencia provocado por la familia paterna (padre y abuela) y el resultado negativo de las medidas de abrigo adoptadas en virtud de la continuidad de las causas que dieron origen a las mismas.- La imposibilidad de la progenitora por su propia problemática para registrar y decodificar las necesidades cotidianas de las niñas.-</w:t>
      </w:r>
    </w:p>
    <w:p>
      <w:pPr>
        <w:pStyle w:val="[Normal]"/>
        <w:spacing w:line="360" w:lineRule="auto"/>
        <w:ind w:firstLine="1134"/>
        <w:jc w:val="both"/>
        <w:rPr>
          <w:lang w:val="es-AR" w:eastAsia="es-AR" w:bidi="es-AR"/>
        </w:rPr>
      </w:pPr>
      <w:r>
        <w:rPr>
          <w:lang w:val="es-AR" w:eastAsia="es-AR" w:bidi="es-AR"/>
        </w:rPr>
        <w:t xml:space="preserve">De todo lo expuesto surge sin duda la existencia de las causas graves que motivaron la intervención de los organismos administrativos desde el año 2024, y que las mismas no han podido ser revertidas al momento actual; lo que ha implicado la abdicación aún involuntaria de los deberes de cuidado, contención y protección derivados de la responsabilidad parental, y la subsistencia de una situación de peligro para la salud, estabilidad, seguridad e integridad física, psíquica y emocional de la menor.</w:t>
      </w:r>
    </w:p>
    <w:p>
      <w:pPr>
        <w:pStyle w:val="[Normal]"/>
        <w:spacing w:line="360" w:lineRule="auto"/>
        <w:ind w:firstLine="1134"/>
        <w:jc w:val="both"/>
        <w:rPr>
          <w:lang w:val="es-AR" w:eastAsia="es-AR" w:bidi="es-AR"/>
        </w:rPr>
      </w:pPr>
      <w:r>
        <w:rPr>
          <w:lang w:val="es-AR" w:eastAsia="es-AR" w:bidi="es-AR"/>
        </w:rPr>
        <w:t xml:space="preserve">Que la progenitora, lamentablemente no está en condiciones de asumir su función de cuidado ni ejercer las obligaciones derivadas de la responsabilidad parental de una manera estable y protectora de los derechos fundamentales de los niños, lo que surge de las constancias reseñadas.- Tal es así que de las diversas constancias obrantes en esos autos y los presentes se desprende con claridad que la misma aún involuntariamente continúa negando o minimizando los hechos de profunda falta de cuidado y contención como así también los episodios de violencia intrafamiliar de los cuales sus hijas resultaron víctimas.</w:t>
      </w:r>
    </w:p>
    <w:p>
      <w:pPr>
        <w:pStyle w:val="[Normal]"/>
        <w:spacing w:line="360" w:lineRule="auto"/>
        <w:ind w:firstLine="1134"/>
        <w:jc w:val="both"/>
        <w:rPr>
          <w:lang w:val="es-AR" w:eastAsia="es-AR" w:bidi="es-AR"/>
        </w:rPr>
      </w:pPr>
      <w:r>
        <w:rPr>
          <w:lang w:val="es-AR" w:eastAsia="es-AR" w:bidi="es-AR"/>
        </w:rPr>
        <w:t xml:space="preserve">Y en ese contexto es que hay que valorar su negativa a dar a la niña en adopción, en audiencia que consta en estos actuados y donde fuera patrocinada por la Funcionaria de la Defensoría General .</w:t>
      </w:r>
    </w:p>
    <w:p>
      <w:pPr>
        <w:pStyle w:val="[Normal]"/>
        <w:spacing w:line="360" w:lineRule="auto"/>
        <w:ind w:firstLine="1134"/>
        <w:jc w:val="both"/>
        <w:rPr>
          <w:lang w:val="es-AR" w:eastAsia="es-AR" w:bidi="es-AR"/>
        </w:rPr>
      </w:pPr>
      <w:r>
        <w:rPr>
          <w:lang w:val="es-AR" w:eastAsia="es-AR" w:bidi="es-AR"/>
        </w:rPr>
        <w:t xml:space="preserve">Consecuentemente, se halla verificada en autos la situación de extremo riesgo y vulnerabilidad en que se halla inmersa la niña la que ha generado profundas consecuencias en su desarrollo. Y asimismo, se ha logrado acreditar también el comportamiento que frente a dicha situación adoptaron los adultos responsables de su cuidado, por lo que no cabe más que concluir que con el paso del tiempo ese contexto se ha visto consolidado y profundizado, en franco detrimento del efectivo goce de los derechos fundamentales de los niños. Y la persistencia en una labor en la cual no se verifican resultados favorables y significativos, importa profundizar aún más la vulneración de los derechos de aquellos a quienes presuntamente se busca proteger, conduciendo a su revictimización y exigiendo, consiguientemente, el trazado de un punto final allí donde la situación se evidencia ya como irreversible.-</w:t>
      </w:r>
    </w:p>
    <w:p>
      <w:pPr>
        <w:pStyle w:val="[Normal]"/>
        <w:spacing w:line="360" w:lineRule="auto"/>
        <w:ind w:firstLine="1134"/>
        <w:jc w:val="both"/>
        <w:rPr>
          <w:lang w:val="es-AR" w:eastAsia="es-AR" w:bidi="es-AR"/>
        </w:rPr>
      </w:pPr>
      <w:r>
        <w:rPr>
          <w:lang w:val="es-AR" w:eastAsia="es-AR" w:bidi="es-AR"/>
        </w:rPr>
        <w:t xml:space="preserve">No advierto tampoco como lo pretenden los recurrentes falta de desarrollo de estrategias referidas a la revinculación ni mucho menos.- La tarea de los Servicios Locales ha sido titánica, elevando informes, otorgando dos medida de abrigo, lo mismo para el Juzgado utilizando su equipo interdisciplinario para producir la mayor cantidad de informes posibles que resguarden tanto a la menor como a sus padres y abuelos.-</w:t>
      </w:r>
    </w:p>
    <w:p>
      <w:pPr>
        <w:pStyle w:val="[Normal]"/>
        <w:spacing w:line="360" w:lineRule="auto"/>
        <w:ind w:firstLine="1134"/>
        <w:jc w:val="both"/>
        <w:rPr>
          <w:lang w:val="es-AR" w:eastAsia="es-AR" w:bidi="es-AR"/>
        </w:rPr>
      </w:pPr>
      <w:r>
        <w:rPr>
          <w:lang w:val="es-AR" w:eastAsia="es-AR" w:bidi="es-AR"/>
        </w:rPr>
        <w:t xml:space="preserve">Hay un limite donde el Estado ya no puede actuar y es en la conformación de esta familia que exhibe graves problemas que comprometen sin duda alguna el desarrollo físico y psíquico de la menor.-</w:t>
      </w:r>
    </w:p>
    <w:p>
      <w:pPr>
        <w:pStyle w:val="[Normal]"/>
        <w:spacing w:line="360" w:lineRule="auto"/>
        <w:ind w:firstLine="1134"/>
        <w:jc w:val="both"/>
        <w:rPr>
          <w:lang w:val="es-AR" w:eastAsia="es-AR" w:bidi="es-AR"/>
        </w:rPr>
      </w:pPr>
      <w:r>
        <w:rPr>
          <w:lang w:val="es-AR" w:eastAsia="es-AR" w:bidi="es-AR"/>
        </w:rPr>
        <w:t xml:space="preserve">Como dice el bien fundado voto de la Dra. Comparato de la Excma. Cámara de Azul " Y en esa línea, ha señalado ya este tribunal que debe aceptarse que la intervención de los efectores del sistema en muchos casos no arroja resultados beneficiosos para la persona menor de edad, ya que algunos grupos familiares no permiten conjugar adecuadamente los intereses y necesidades de todos sus miembros en una medida equitativa. Por ese motivo, se impone un abordaje que trascienda a la familia como entidad grupal, y focalice a sus integrantes como individuos cuyos derechos deben ser garantizados independientemente de los del grupo. Porque si bien es loable la intervención del Estado en pos de procurar la unidad familiar y la continuidad de los niños con sus progenitores o, en su caso, con su familia ampliada, lo cierto es que esta actividad estatal tiene un límite, y éste está representado por el superior interés del niño.  Es así que, cumplida la actividad estatal para corregir las falencias o desigualdades en que la vida pudo haber colocado a los miembros del grupo familiar y acreditada la ausencia de resultados, es imperioso inclinar la balanza con toda premura, a favor de quien está más expuesto en esta cadena de inequidad; pues la constitucionalización del derecho de familia y la interpretación de sus normas bajo el prisma del principio pro homine, imponen la aplicación de políticas estatales proactivas tendientes a hacer cesar la afectación de derechos fundamentales de aquéllos que se hallan en situación de mayor vulnerabilidad y que no se encuentran en condiciones de elegir (ver Cám. Civ. y Com. de Trelew, Sala A, sentencia del 08.07.2011, Revista de Derecho de Familia, Abeledo Perrot, 2011-VI "Estado de Preadoptabilidad en las familias intervenidas", págs. 191/210; esta Sala, precedentes n° 61.094 "Gaitán", del 27.09.2016; n° 63759 y 63760 "Indavera…", del 30.04.2019; n° 63875 "Bustamante…", del 17.05.2019; n° 63.559 "Almeira…", del 11.06.2019; n° 64.338 "Frías…", del 24.09.2018, entre otros)."</w:t>
      </w:r>
    </w:p>
    <w:p>
      <w:pPr>
        <w:pStyle w:val="[Normal]"/>
        <w:spacing w:line="360" w:lineRule="auto"/>
        <w:ind w:firstLine="1134"/>
        <w:jc w:val="both"/>
        <w:rPr>
          <w:lang w:val="es-AR" w:eastAsia="es-AR" w:bidi="es-AR"/>
        </w:rPr>
      </w:pPr>
      <w:r>
        <w:rPr>
          <w:lang w:val="es-AR" w:eastAsia="es-AR" w:bidi="es-AR"/>
        </w:rPr>
        <w:t xml:space="preserve">"De lo que se trata aquí es de trasladar la carga de las responsabilidades respecto de los niños hacia otros adultos, quienes tendrán a su cargo restaurar los derechos de las personas menores de edad. En definitiva, se trata de satisfacer el interés superior de los niños y los demás principios a su favor implicados, del mejor modo posible conforme las circunstancias, sin que ello implique necesariamente borrar la historia personal de las partes, sino dotar a los sujetos que se hallan en situación de vulnerabilidad de un ambiente que les permita crecer y desarrollarse (CCiv.Com. Necochea, en causa 10.264 "F., J.- C. Y L., A. s/ Privación de patria potestad", del 22.11.2015, publicado en el Dial.com).-</w:t>
      </w:r>
    </w:p>
    <w:p>
      <w:pPr>
        <w:pStyle w:val="[Normal]"/>
        <w:spacing w:line="360" w:lineRule="auto"/>
        <w:ind w:firstLine="1134"/>
        <w:jc w:val="both"/>
        <w:rPr>
          <w:lang w:val="es-AR" w:eastAsia="es-AR" w:bidi="es-AR"/>
        </w:rPr>
      </w:pPr>
      <w:r>
        <w:rPr>
          <w:lang w:val="es-AR" w:eastAsia="es-AR" w:bidi="es-AR"/>
        </w:rPr>
        <w:t xml:space="preserve">Es así que a la luz de lo expuesto -y frente a lo normado por los arts. 37 y cc de la ley 26.061; arts. 9°, 19 incs. c) y e), 31 incs. c), e) y f), 34, 35, 35 bis y cc de la ley 13.298; arts. 11 y cc de la ley 14.528; y art. 607 y cc del Código Civil y Comercial- no puede perderse de vista que frente al reclamo de los adultos, se encuentra el interés superior del niño. De modo que no basta para cuestionar lo decidido respecto de A.R.A. la invocación por parte de la progenitora de su deseo de vivir junto a sus hijos y del afecto recíproco existente entre ellos -sentimiento que está fuera de discusión y que fuera valorado por el propio juez actuante, en tanto lo que aquí se le exige es una actitud positiva de su parte que ponga en evidencia su voluntad inequívoca, hechos concretos que demuestren la adopción de un comportamiento adecuado a las circunstancias del caso y que sirva para garantizar la atención, cuidado, salud, educación y protección que los niños requieren; para lo cual no resulta suficiente el hecho de presentarse al proceso sin aportar elementos concretos que permitan torcer la solución del caso (esta Sala, causa n° 61.094 "Gaitán", del 27.09.2016).  Y ello en tanto, frente al contexto fáctico presente en autos y sucintamente descripto ut-supra, resulta evidente que la existencia de un vínculo biológico y de afecto entre la recurrente y sus hijos no puede de ningún modo justificar la voluntaria abdicación del respeto a derechos fundamentales e inalienables de los niños, como resultan ser el derecho a la integridad psicofísica, a la estabilidad emocional, a la salud, a la educación, y a vivir una vida libre de violencia."</w:t>
      </w:r>
    </w:p>
    <w:p>
      <w:pPr>
        <w:pStyle w:val="[Normal]"/>
        <w:spacing w:line="360" w:lineRule="auto"/>
        <w:ind w:firstLine="1134"/>
        <w:jc w:val="both"/>
        <w:rPr>
          <w:lang w:val="es-AR" w:eastAsia="es-AR" w:bidi="es-AR"/>
        </w:rPr>
      </w:pPr>
      <w:r>
        <w:rPr>
          <w:lang w:val="es-AR" w:eastAsia="es-AR" w:bidi="es-AR"/>
        </w:rPr>
        <w:t xml:space="preserve">"Al respecto, la Corte Suprema de Justicia de la Nación tiene dicho que "…frente a las escasas posibilidades de brindar sostén y contención adecuadas, las actitudes bien intencionadas de la progenitora y su entorno no resultan suficientes para responder a las necesidades psicoemocionales de las niñas que han sufrido carencias afectivas desde temprana edad. Cabe considerar que el interés primordial de las menores se encuentra debidamente ponderado en el fallo en recurso y que esta Corte no encuentra argumento decisivo para invalidar un pronunciamiento que en este aspecto no presenta defectos de motivación o razonamiento que justifiquen a su descalificación por la vía intentada…" (Ac. 1202 "A.M, M.A. y A.M.C s/ Protección especial", del 31.08.2010, publicado en el Dial.com el 02.11.2010).-" Cfr fallo citado.-</w:t>
      </w:r>
    </w:p>
    <w:p>
      <w:pPr>
        <w:pStyle w:val="[Normal]"/>
        <w:spacing w:line="360" w:lineRule="auto"/>
        <w:ind w:firstLine="1134"/>
        <w:jc w:val="both"/>
        <w:rPr>
          <w:lang w:val="es-AR" w:eastAsia="es-AR" w:bidi="es-AR"/>
        </w:rPr>
      </w:pPr>
      <w:r>
        <w:rPr>
          <w:lang w:val="es-AR" w:eastAsia="es-AR" w:bidi="es-AR"/>
        </w:rPr>
        <w:t xml:space="preserve">De tal modo acudiendo al sistema normativo en su totalidad previsto en los arts. 595, 607 inc. c), 608, ss. y cc. del Código Civil y Comercial para la declaración judicial de la situación de adoptabilidad, el art. 11 y cc de la ley 14.528, el art. 9° inc. 1) y cc de la Convención de los Derechos del Niño, el art. 19 de la Convención Americana sobre Derechos Humanos, el art. 24 del Pacto Internacional de Derechos Civiles y Políticos y el art. 10 pto. 3º del Pacto Internacional de Derechos Económicos, Sociales y Culturales; que se han contemplado en autos las garantías procesales instituidas en beneficio de las partes intervinientes, el principio de inmediación y el derecho de los niños a ser oídos y a que su opinión sea efectivamente valorada en función de las circunstancias especiales de este caso ; y que existe la necesidad de poner fin al estado de incertidumbre e inseguridad jurídica propio del primer estadio de comprobación del desamparo de las personas menores de edad; propongo al acuerdo confirmar el fallo de primera instancia (art. 75 incs. 19 y 22 de la Constitución Nacional; art. 36 inc. 1º de la Constitución Provincial; y restante normativa, doctrina y jurisprudencia citada).-</w:t>
      </w:r>
    </w:p>
    <w:p>
      <w:pPr>
        <w:pStyle w:val="[Normal]"/>
        <w:spacing w:line="360" w:lineRule="auto"/>
        <w:ind w:firstLine="1134"/>
        <w:jc w:val="both"/>
        <w:rPr>
          <w:lang w:val="es-AR" w:eastAsia="es-AR" w:bidi="es-AR"/>
        </w:rPr>
      </w:pPr>
      <w:r>
        <w:rPr>
          <w:lang w:val="es-AR" w:eastAsia="es-AR" w:bidi="es-AR"/>
        </w:rPr>
        <w:t xml:space="preserve">Ello sin perjuicio del mantenimiento del contacto filial en los términos y con los alcances que se dispongan por el Juez de Familia; y de lo que eventualmente se resuelva al respecto en el marco del juicio de adopción (arts. 621, 627 inc. b y conc. del Código Civil y Comercial), oportunidad en la que habrá de escucharse a la menor  y tener en cuenta su opinión según su edad y grado de madurez (arts. 617 inc. b y del Código Civil y Comercial y 25 de la ley 14.528), como así también tener en cuenta la situación de su hermana también  institucionalizada  siendo factible en ese momento recabar nuevos elementos de importancia para dirimir esta cuestión (Sala Azul , causas n° 60.690 "Siebenhaar…", ya citada, n° 64879 "Peralta…" del 14.04.2020, entre otras).-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los recursos de apelación traídos,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a los apelantes devintos (art. 68 del CPCC).-</w:t>
      </w:r>
    </w:p>
    <w:p>
      <w:pPr>
        <w:pStyle w:val="[Normal]"/>
        <w:spacing w:line="360" w:lineRule="auto"/>
        <w:ind w:firstLine="1134"/>
        <w:jc w:val="both"/>
        <w:rPr>
          <w:lang w:val="es-AR" w:eastAsia="es-AR" w:bidi="es-AR"/>
        </w:rPr>
      </w:pPr>
      <w:r>
        <w:rPr>
          <w:lang w:val="es-AR" w:eastAsia="es-AR" w:bidi="es-AR"/>
        </w:rPr>
        <w:t xml:space="preserve">La regulación obrará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los recursos de apelación traídos,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a los apelantes devintos (art. 68 del CPCC).-</w:t>
      </w:r>
    </w:p>
    <w:p>
      <w:pPr>
        <w:pStyle w:val="[Normal]"/>
        <w:spacing w:line="360" w:lineRule="auto"/>
        <w:ind w:firstLine="1134"/>
        <w:jc w:val="both"/>
        <w:rPr>
          <w:lang w:val="es-AR" w:eastAsia="es-AR" w:bidi="es-AR"/>
        </w:rPr>
      </w:pPr>
      <w:r>
        <w:rPr>
          <w:lang w:val="es-AR" w:eastAsia="es-AR" w:bidi="es-AR"/>
        </w:rPr>
        <w:t xml:space="preserve">La regulación  de honorarios obrará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color w:val="000000"/>
          <w:lang w:val="es-AR" w:eastAsia="es-AR" w:bidi="es-AR"/>
        </w:rPr>
        <w:t xml:space="preserve"> </w:t>
      </w:r>
    </w:p>
    <w:p>
      <w:pPr>
        <w:pStyle w:val="[Normal]"/>
        <w:spacing w:line="360" w:lineRule="auto"/>
        <w:ind w:firstLine="1134"/>
        <w:jc w:val="both"/>
        <w:rPr>
          <w:lang w:val="es-AR" w:eastAsia="es-AR" w:bidi="es-AR"/>
        </w:rPr>
      </w:pP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